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540"/>
        <w:gridCol w:w="1935"/>
        <w:gridCol w:w="620"/>
        <w:gridCol w:w="2747"/>
        <w:gridCol w:w="447"/>
        <w:gridCol w:w="2650"/>
        <w:gridCol w:w="1501"/>
      </w:tblGrid>
      <w:tr w:rsidR="00BB4390" w:rsidRPr="004869AF" w14:paraId="053E3722" w14:textId="77777777" w:rsidTr="00E60774">
        <w:trPr>
          <w:trHeight w:val="1008"/>
        </w:trPr>
        <w:sdt>
          <w:sdtPr>
            <w:id w:val="-860277065"/>
            <w:placeholder>
              <w:docPart w:val="2819CAB3D1EF4651A4D02084FD6D62DA"/>
            </w:placeholder>
          </w:sdtPr>
          <w:sdtEndPr/>
          <w:sdtContent>
            <w:tc>
              <w:tcPr>
                <w:tcW w:w="2475" w:type="dxa"/>
                <w:gridSpan w:val="2"/>
                <w:vAlign w:val="center"/>
              </w:tcPr>
              <w:p w14:paraId="5B545C88" w14:textId="083BB098" w:rsidR="00BB4390" w:rsidRPr="004869AF" w:rsidRDefault="00A46B13" w:rsidP="00D4614A">
                <w:pPr>
                  <w:pStyle w:val="PolicyTitle"/>
                </w:pPr>
                <w:r w:rsidRPr="004869AF">
                  <w:t>4-OP-C-</w:t>
                </w:r>
                <w:r w:rsidR="006E4CC1" w:rsidRPr="004869AF">
                  <w:t>7</w:t>
                </w:r>
                <w:r w:rsidR="005521E4" w:rsidRPr="004869AF">
                  <w:t>-</w:t>
                </w:r>
                <w:r w:rsidR="000C2EEE" w:rsidRPr="004869AF">
                  <w:t>E1.13</w:t>
                </w:r>
              </w:p>
            </w:tc>
          </w:sdtContent>
        </w:sdt>
        <w:sdt>
          <w:sdtPr>
            <w:id w:val="-222986732"/>
            <w:placeholder>
              <w:docPart w:val="87DAA68ACD4F467DA0B49D162B13615A"/>
            </w:placeholder>
          </w:sdtPr>
          <w:sdtEndPr/>
          <w:sdtContent>
            <w:tc>
              <w:tcPr>
                <w:tcW w:w="7965" w:type="dxa"/>
                <w:gridSpan w:val="5"/>
                <w:vAlign w:val="center"/>
              </w:tcPr>
              <w:p w14:paraId="4E6EA1B3" w14:textId="77777777" w:rsidR="00BB4390" w:rsidRPr="004869AF" w:rsidRDefault="00311A28" w:rsidP="00311A28">
                <w:pPr>
                  <w:pStyle w:val="PolicyTitle"/>
                </w:pPr>
                <w:r w:rsidRPr="004869AF">
                  <w:t>essential personnel Designation &amp; compensation</w:t>
                </w:r>
              </w:p>
            </w:tc>
          </w:sdtContent>
        </w:sdt>
      </w:tr>
      <w:tr w:rsidR="001445BD" w:rsidRPr="004869AF" w14:paraId="32D6F0D4" w14:textId="77777777" w:rsidTr="00E60774">
        <w:trPr>
          <w:trHeight w:val="20"/>
        </w:trPr>
        <w:tc>
          <w:tcPr>
            <w:tcW w:w="3095" w:type="dxa"/>
            <w:gridSpan w:val="3"/>
            <w:vAlign w:val="center"/>
          </w:tcPr>
          <w:p w14:paraId="3ED5C46E" w14:textId="77777777" w:rsidR="001445BD" w:rsidRPr="004869AF" w:rsidRDefault="005E3BE7" w:rsidP="00A9711A">
            <w:pPr>
              <w:spacing w:after="0"/>
              <w:rPr>
                <w:rStyle w:val="Strong"/>
              </w:rPr>
            </w:pPr>
            <w:r w:rsidRPr="004869AF">
              <w:rPr>
                <w:rStyle w:val="Strong"/>
              </w:rPr>
              <w:t>Responsible Executive:</w:t>
            </w:r>
          </w:p>
        </w:tc>
        <w:sdt>
          <w:sdtPr>
            <w:alias w:val="Responsible Executive"/>
            <w:tag w:val="Responsible Executive"/>
            <w:id w:val="1564756064"/>
            <w:lock w:val="sdtLocked"/>
            <w:placeholder>
              <w:docPart w:val="FA1309AF61B7446390FA2D58CBB9C2B8"/>
            </w:placeholder>
          </w:sdtPr>
          <w:sdtEndPr/>
          <w:sdtContent>
            <w:tc>
              <w:tcPr>
                <w:tcW w:w="7345" w:type="dxa"/>
                <w:gridSpan w:val="4"/>
                <w:vAlign w:val="center"/>
              </w:tcPr>
              <w:p w14:paraId="29DD88D4" w14:textId="77777777" w:rsidR="001445BD" w:rsidRPr="004869AF" w:rsidRDefault="009D3C2B" w:rsidP="009D3C2B">
                <w:pPr>
                  <w:spacing w:after="0"/>
                </w:pPr>
                <w:r w:rsidRPr="004869AF">
                  <w:t>Finance &amp; Administration</w:t>
                </w:r>
              </w:p>
            </w:tc>
          </w:sdtContent>
        </w:sdt>
      </w:tr>
      <w:tr w:rsidR="001445BD" w:rsidRPr="004869AF" w14:paraId="72985A56" w14:textId="77777777" w:rsidTr="00E60774">
        <w:trPr>
          <w:trHeight w:val="20"/>
        </w:trPr>
        <w:tc>
          <w:tcPr>
            <w:tcW w:w="3095" w:type="dxa"/>
            <w:gridSpan w:val="3"/>
            <w:vAlign w:val="center"/>
          </w:tcPr>
          <w:p w14:paraId="7AE1B740" w14:textId="77777777" w:rsidR="001445BD" w:rsidRPr="004869AF" w:rsidRDefault="005E3BE7" w:rsidP="00A9711A">
            <w:pPr>
              <w:spacing w:after="0"/>
              <w:rPr>
                <w:rStyle w:val="Strong"/>
              </w:rPr>
            </w:pPr>
            <w:r w:rsidRPr="004869AF">
              <w:rPr>
                <w:rStyle w:val="Strong"/>
              </w:rPr>
              <w:t>Approving Official:</w:t>
            </w:r>
          </w:p>
        </w:tc>
        <w:sdt>
          <w:sdtPr>
            <w:alias w:val="Approving Official"/>
            <w:tag w:val="Approving Official"/>
            <w:id w:val="1739746219"/>
            <w:lock w:val="sdtLocked"/>
            <w:placeholder>
              <w:docPart w:val="D3913E1CB31F4F2AAABC43CD133E5262"/>
            </w:placeholder>
          </w:sdtPr>
          <w:sdtEndPr/>
          <w:sdtContent>
            <w:tc>
              <w:tcPr>
                <w:tcW w:w="7345" w:type="dxa"/>
                <w:gridSpan w:val="4"/>
                <w:vAlign w:val="center"/>
              </w:tcPr>
              <w:p w14:paraId="404001F8" w14:textId="77777777" w:rsidR="001445BD" w:rsidRPr="004869AF" w:rsidRDefault="009D3C2B" w:rsidP="009D3C2B">
                <w:pPr>
                  <w:spacing w:after="0"/>
                </w:pPr>
                <w:r w:rsidRPr="004869AF">
                  <w:t>Vice President for Finance &amp; Administration</w:t>
                </w:r>
              </w:p>
            </w:tc>
          </w:sdtContent>
        </w:sdt>
      </w:tr>
      <w:tr w:rsidR="001445BD" w:rsidRPr="004869AF" w14:paraId="15A9062B" w14:textId="77777777" w:rsidTr="00E60774">
        <w:trPr>
          <w:trHeight w:val="20"/>
        </w:trPr>
        <w:tc>
          <w:tcPr>
            <w:tcW w:w="3095" w:type="dxa"/>
            <w:gridSpan w:val="3"/>
            <w:vAlign w:val="center"/>
          </w:tcPr>
          <w:p w14:paraId="59CE8DE0" w14:textId="77777777" w:rsidR="001445BD" w:rsidRPr="004869AF" w:rsidRDefault="005E3BE7" w:rsidP="00A9711A">
            <w:pPr>
              <w:spacing w:after="0"/>
              <w:rPr>
                <w:rStyle w:val="Strong"/>
              </w:rPr>
            </w:pPr>
            <w:r w:rsidRPr="004869AF">
              <w:rPr>
                <w:rStyle w:val="Strong"/>
              </w:rPr>
              <w:t>Effective Date:</w:t>
            </w:r>
          </w:p>
        </w:tc>
        <w:sdt>
          <w:sdtPr>
            <w:alias w:val="Effective Date"/>
            <w:tag w:val="Effective Date"/>
            <w:id w:val="525527993"/>
            <w:lock w:val="sdtLocked"/>
            <w:placeholder>
              <w:docPart w:val="91EB2F4721A7403D9ECCDA2FC5CB8C71"/>
            </w:placeholder>
          </w:sdtPr>
          <w:sdtEndPr/>
          <w:sdtContent>
            <w:tc>
              <w:tcPr>
                <w:tcW w:w="7345" w:type="dxa"/>
                <w:gridSpan w:val="4"/>
                <w:vAlign w:val="center"/>
              </w:tcPr>
              <w:p w14:paraId="6425B54C" w14:textId="57AF58D6" w:rsidR="001445BD" w:rsidRPr="004869AF" w:rsidRDefault="00FF33AF" w:rsidP="0029274D">
                <w:pPr>
                  <w:spacing w:after="0"/>
                </w:pPr>
                <w:r w:rsidRPr="004869AF">
                  <w:t>TBD</w:t>
                </w:r>
              </w:p>
            </w:tc>
          </w:sdtContent>
        </w:sdt>
      </w:tr>
      <w:tr w:rsidR="001445BD" w:rsidRPr="004869AF" w14:paraId="39C150BB" w14:textId="77777777" w:rsidTr="00E60774">
        <w:trPr>
          <w:trHeight w:val="20"/>
        </w:trPr>
        <w:tc>
          <w:tcPr>
            <w:tcW w:w="3095" w:type="dxa"/>
            <w:gridSpan w:val="3"/>
          </w:tcPr>
          <w:p w14:paraId="105E6622" w14:textId="77777777" w:rsidR="001445BD" w:rsidRPr="004869AF" w:rsidRDefault="00D4614A" w:rsidP="00C15D32">
            <w:pPr>
              <w:spacing w:after="0"/>
              <w:rPr>
                <w:rStyle w:val="Strong"/>
              </w:rPr>
            </w:pPr>
            <w:r w:rsidRPr="004869AF">
              <w:rPr>
                <w:rStyle w:val="Strong"/>
              </w:rPr>
              <w:t>Revision History:</w:t>
            </w:r>
          </w:p>
        </w:tc>
        <w:sdt>
          <w:sdtPr>
            <w:alias w:val="Revision History"/>
            <w:tag w:val="Revision History"/>
            <w:id w:val="-1932571921"/>
            <w:lock w:val="sdtLocked"/>
            <w:placeholder>
              <w:docPart w:val="A61E06D65FCF4D45B05AC4964F999707"/>
            </w:placeholder>
          </w:sdtPr>
          <w:sdtEndPr/>
          <w:sdtContent>
            <w:tc>
              <w:tcPr>
                <w:tcW w:w="7345" w:type="dxa"/>
                <w:gridSpan w:val="4"/>
                <w:vAlign w:val="center"/>
              </w:tcPr>
              <w:p w14:paraId="1080D6E9" w14:textId="4833C170" w:rsidR="001445BD" w:rsidRPr="004869AF" w:rsidRDefault="00A46B13" w:rsidP="00A9711A">
                <w:pPr>
                  <w:spacing w:after="0"/>
                </w:pPr>
                <w:r w:rsidRPr="004869AF">
                  <w:t>New</w:t>
                </w:r>
              </w:p>
            </w:tc>
          </w:sdtContent>
        </w:sdt>
      </w:tr>
      <w:tr w:rsidR="00D4614A" w:rsidRPr="004869AF" w14:paraId="7329A162" w14:textId="77777777" w:rsidTr="00E60774">
        <w:trPr>
          <w:trHeight w:val="432"/>
        </w:trPr>
        <w:tc>
          <w:tcPr>
            <w:tcW w:w="3095" w:type="dxa"/>
            <w:gridSpan w:val="3"/>
            <w:vAlign w:val="center"/>
          </w:tcPr>
          <w:p w14:paraId="4842F697" w14:textId="77777777" w:rsidR="00D4614A" w:rsidRPr="004869AF" w:rsidRDefault="00D4614A" w:rsidP="00BB4390">
            <w:pPr>
              <w:rPr>
                <w:rStyle w:val="Strong"/>
              </w:rPr>
            </w:pPr>
          </w:p>
        </w:tc>
        <w:tc>
          <w:tcPr>
            <w:tcW w:w="7345" w:type="dxa"/>
            <w:gridSpan w:val="4"/>
            <w:vAlign w:val="center"/>
          </w:tcPr>
          <w:p w14:paraId="4BFAE4D5" w14:textId="77777777" w:rsidR="00D4614A" w:rsidRPr="004869AF" w:rsidRDefault="00D4614A" w:rsidP="00BB4390"/>
        </w:tc>
      </w:tr>
      <w:tr w:rsidR="00B6798D" w:rsidRPr="004869AF" w14:paraId="6659FFAA" w14:textId="77777777" w:rsidTr="00E60774">
        <w:trPr>
          <w:trHeight w:val="20"/>
        </w:trPr>
        <w:tc>
          <w:tcPr>
            <w:tcW w:w="540" w:type="dxa"/>
            <w:vAlign w:val="center"/>
          </w:tcPr>
          <w:p w14:paraId="1F211CEC" w14:textId="77777777" w:rsidR="00B6798D" w:rsidRPr="004869AF" w:rsidRDefault="001B60D8" w:rsidP="001B60D8">
            <w:pPr>
              <w:pStyle w:val="PolicyTitle"/>
            </w:pPr>
            <w:r w:rsidRPr="004869AF">
              <w:t>I.</w:t>
            </w:r>
          </w:p>
        </w:tc>
        <w:tc>
          <w:tcPr>
            <w:tcW w:w="9900" w:type="dxa"/>
            <w:gridSpan w:val="6"/>
            <w:vAlign w:val="center"/>
          </w:tcPr>
          <w:p w14:paraId="545F4800" w14:textId="77777777" w:rsidR="00B6798D" w:rsidRPr="004869AF" w:rsidRDefault="00B6798D" w:rsidP="001B60D8">
            <w:pPr>
              <w:pStyle w:val="PolicyTitle"/>
            </w:pPr>
            <w:r w:rsidRPr="004869AF">
              <w:t>INTRODUCTION</w:t>
            </w:r>
          </w:p>
        </w:tc>
      </w:tr>
      <w:tr w:rsidR="00B6798D" w:rsidRPr="004869AF" w14:paraId="5FEF26EB" w14:textId="77777777" w:rsidTr="00E60774">
        <w:trPr>
          <w:trHeight w:val="432"/>
        </w:trPr>
        <w:tc>
          <w:tcPr>
            <w:tcW w:w="540" w:type="dxa"/>
            <w:vAlign w:val="center"/>
          </w:tcPr>
          <w:p w14:paraId="25B20A88" w14:textId="77777777" w:rsidR="00B6798D" w:rsidRPr="004869AF" w:rsidRDefault="00B6798D" w:rsidP="00C911D9"/>
        </w:tc>
        <w:tc>
          <w:tcPr>
            <w:tcW w:w="9900" w:type="dxa"/>
            <w:gridSpan w:val="6"/>
            <w:vAlign w:val="center"/>
          </w:tcPr>
          <w:p w14:paraId="3A4ABADB" w14:textId="15B08E65" w:rsidR="00B6798D" w:rsidRPr="004869AF" w:rsidRDefault="009D3C2B" w:rsidP="00371E8B">
            <w:r w:rsidRPr="004869AF">
              <w:rPr>
                <w:color w:val="2C2A29"/>
              </w:rPr>
              <w:t xml:space="preserve">This </w:t>
            </w:r>
            <w:r w:rsidR="00EE6729" w:rsidRPr="004869AF">
              <w:rPr>
                <w:color w:val="2C2A29"/>
              </w:rPr>
              <w:t>policy provides guidance to departments on identifying and compensating essential employees</w:t>
            </w:r>
            <w:r w:rsidR="00267153" w:rsidRPr="004869AF">
              <w:rPr>
                <w:color w:val="2C2A29"/>
              </w:rPr>
              <w:t xml:space="preserve">, </w:t>
            </w:r>
            <w:r w:rsidR="000B003C" w:rsidRPr="004869AF">
              <w:rPr>
                <w:color w:val="2C2A29"/>
              </w:rPr>
              <w:t>including</w:t>
            </w:r>
            <w:r w:rsidR="00267153" w:rsidRPr="004869AF">
              <w:rPr>
                <w:color w:val="2C2A29"/>
              </w:rPr>
              <w:t xml:space="preserve"> Essential Critical Personnel and Medium Priority Personnel,</w:t>
            </w:r>
            <w:r w:rsidR="00EE6729" w:rsidRPr="004869AF">
              <w:rPr>
                <w:color w:val="2C2A29"/>
              </w:rPr>
              <w:t xml:space="preserve"> that </w:t>
            </w:r>
            <w:r w:rsidR="00267153" w:rsidRPr="004869AF">
              <w:rPr>
                <w:color w:val="2C2A29"/>
              </w:rPr>
              <w:t>may be</w:t>
            </w:r>
            <w:r w:rsidR="00EE6729" w:rsidRPr="004869AF">
              <w:rPr>
                <w:color w:val="2C2A29"/>
              </w:rPr>
              <w:t xml:space="preserve"> required to work during a Un</w:t>
            </w:r>
            <w:r w:rsidR="00336FBF" w:rsidRPr="004869AF">
              <w:rPr>
                <w:color w:val="2C2A29"/>
              </w:rPr>
              <w:t xml:space="preserve">iversity </w:t>
            </w:r>
            <w:r w:rsidR="00192726" w:rsidRPr="004869AF">
              <w:rPr>
                <w:color w:val="2C2A29"/>
              </w:rPr>
              <w:t>emergency and</w:t>
            </w:r>
            <w:r w:rsidR="00267153" w:rsidRPr="004869AF">
              <w:rPr>
                <w:color w:val="2C2A29"/>
              </w:rPr>
              <w:t>/or</w:t>
            </w:r>
            <w:r w:rsidR="00192726" w:rsidRPr="004869AF">
              <w:rPr>
                <w:color w:val="2C2A29"/>
              </w:rPr>
              <w:t xml:space="preserve"> closure</w:t>
            </w:r>
            <w:r w:rsidR="00336FBF" w:rsidRPr="004869AF">
              <w:rPr>
                <w:color w:val="2C2A29"/>
              </w:rPr>
              <w:t>.</w:t>
            </w:r>
            <w:r w:rsidR="001B5A9D" w:rsidRPr="004869AF">
              <w:rPr>
                <w:color w:val="2C2A29"/>
              </w:rPr>
              <w:t xml:space="preserve"> </w:t>
            </w:r>
            <w:r w:rsidR="00336FBF" w:rsidRPr="004869AF">
              <w:rPr>
                <w:color w:val="2C2A29"/>
              </w:rPr>
              <w:t xml:space="preserve">The designation of a University </w:t>
            </w:r>
            <w:r w:rsidR="00192726" w:rsidRPr="004869AF">
              <w:rPr>
                <w:color w:val="2C2A29"/>
              </w:rPr>
              <w:t xml:space="preserve">closure </w:t>
            </w:r>
            <w:r w:rsidR="00336FBF" w:rsidRPr="004869AF">
              <w:rPr>
                <w:color w:val="2C2A29"/>
              </w:rPr>
              <w:t xml:space="preserve">shall be made by the University President, or </w:t>
            </w:r>
            <w:r w:rsidR="00982807" w:rsidRPr="004869AF">
              <w:rPr>
                <w:color w:val="2C2A29"/>
              </w:rPr>
              <w:t>d</w:t>
            </w:r>
            <w:r w:rsidR="00336FBF" w:rsidRPr="004869AF">
              <w:rPr>
                <w:color w:val="2C2A29"/>
              </w:rPr>
              <w:t>esignee</w:t>
            </w:r>
            <w:r w:rsidR="00226A22" w:rsidRPr="004869AF">
              <w:rPr>
                <w:color w:val="2C2A29"/>
              </w:rPr>
              <w:t>.</w:t>
            </w:r>
          </w:p>
        </w:tc>
      </w:tr>
      <w:tr w:rsidR="00B6798D" w:rsidRPr="004869AF" w14:paraId="237521D7" w14:textId="77777777" w:rsidTr="00E60774">
        <w:trPr>
          <w:trHeight w:val="432"/>
        </w:trPr>
        <w:tc>
          <w:tcPr>
            <w:tcW w:w="540" w:type="dxa"/>
            <w:vAlign w:val="center"/>
          </w:tcPr>
          <w:p w14:paraId="74B4EA85" w14:textId="77777777" w:rsidR="00B6798D" w:rsidRPr="004869AF" w:rsidRDefault="00B6798D" w:rsidP="00C911D9"/>
        </w:tc>
        <w:tc>
          <w:tcPr>
            <w:tcW w:w="9900" w:type="dxa"/>
            <w:gridSpan w:val="6"/>
            <w:vAlign w:val="center"/>
          </w:tcPr>
          <w:p w14:paraId="5B95F8C2" w14:textId="77777777" w:rsidR="00B6798D" w:rsidRPr="004869AF" w:rsidRDefault="00B6798D" w:rsidP="00C911D9"/>
        </w:tc>
      </w:tr>
      <w:tr w:rsidR="00B6798D" w:rsidRPr="004869AF" w14:paraId="610C0912" w14:textId="77777777" w:rsidTr="00E60774">
        <w:trPr>
          <w:trHeight w:val="144"/>
        </w:trPr>
        <w:tc>
          <w:tcPr>
            <w:tcW w:w="540" w:type="dxa"/>
            <w:vAlign w:val="center"/>
          </w:tcPr>
          <w:p w14:paraId="5F9FF624" w14:textId="77777777" w:rsidR="00B6798D" w:rsidRPr="004869AF" w:rsidRDefault="001B60D8" w:rsidP="001B60D8">
            <w:pPr>
              <w:pStyle w:val="PolicyTitle"/>
            </w:pPr>
            <w:r w:rsidRPr="004869AF">
              <w:t>II.</w:t>
            </w:r>
          </w:p>
        </w:tc>
        <w:tc>
          <w:tcPr>
            <w:tcW w:w="9900" w:type="dxa"/>
            <w:gridSpan w:val="6"/>
            <w:vAlign w:val="center"/>
          </w:tcPr>
          <w:p w14:paraId="16B2B665" w14:textId="77777777" w:rsidR="00B6798D" w:rsidRPr="004869AF" w:rsidRDefault="00B6798D" w:rsidP="001B5A9D">
            <w:pPr>
              <w:pStyle w:val="PolicyTitle"/>
            </w:pPr>
            <w:r w:rsidRPr="004869AF">
              <w:t>POLICY</w:t>
            </w:r>
            <w:r w:rsidR="001B5A9D" w:rsidRPr="004869AF">
              <w:t xml:space="preserve"> </w:t>
            </w:r>
          </w:p>
        </w:tc>
      </w:tr>
      <w:tr w:rsidR="00B6798D" w:rsidRPr="004869AF" w14:paraId="2571FDE5" w14:textId="77777777" w:rsidTr="00E60774">
        <w:trPr>
          <w:trHeight w:val="432"/>
        </w:trPr>
        <w:tc>
          <w:tcPr>
            <w:tcW w:w="540" w:type="dxa"/>
            <w:vAlign w:val="center"/>
          </w:tcPr>
          <w:p w14:paraId="25C4E337" w14:textId="77777777" w:rsidR="00B6798D" w:rsidRPr="004869AF" w:rsidRDefault="00B6798D" w:rsidP="00C911D9"/>
        </w:tc>
        <w:sdt>
          <w:sdtPr>
            <w:rPr>
              <w:rFonts w:eastAsiaTheme="minorEastAsia"/>
              <w:sz w:val="22"/>
              <w:szCs w:val="22"/>
            </w:rPr>
            <w:alias w:val="Policy"/>
            <w:tag w:val="Policy"/>
            <w:id w:val="-77218106"/>
            <w:placeholder>
              <w:docPart w:val="720835C5BB044AEB8E284171AABAEF66"/>
            </w:placeholder>
          </w:sdtPr>
          <w:sdtEndPr>
            <w:rPr>
              <w:rFonts w:eastAsia="Times New Roman"/>
            </w:rPr>
          </w:sdtEndPr>
          <w:sdtContent>
            <w:tc>
              <w:tcPr>
                <w:tcW w:w="9900" w:type="dxa"/>
                <w:gridSpan w:val="6"/>
                <w:shd w:val="clear" w:color="auto" w:fill="auto"/>
                <w:vAlign w:val="center"/>
              </w:tcPr>
              <w:p w14:paraId="0D4D6922" w14:textId="0A25068F" w:rsidR="009D3C2B" w:rsidRPr="004869AF" w:rsidRDefault="00221FCD" w:rsidP="009D3C2B">
                <w:pPr>
                  <w:pStyle w:val="NormalWeb"/>
                  <w:rPr>
                    <w:rFonts w:eastAsiaTheme="minorEastAsia"/>
                    <w:sz w:val="22"/>
                    <w:szCs w:val="22"/>
                  </w:rPr>
                </w:pPr>
                <w:r w:rsidRPr="004869AF">
                  <w:rPr>
                    <w:rFonts w:eastAsiaTheme="minorEastAsia"/>
                    <w:sz w:val="22"/>
                    <w:szCs w:val="22"/>
                  </w:rPr>
                  <w:t xml:space="preserve">Certain emergency events may result in the suspension of normal University </w:t>
                </w:r>
                <w:r w:rsidR="00C04CD7" w:rsidRPr="004869AF">
                  <w:rPr>
                    <w:rFonts w:eastAsiaTheme="minorEastAsia"/>
                    <w:sz w:val="22"/>
                    <w:szCs w:val="22"/>
                  </w:rPr>
                  <w:t>activities</w:t>
                </w:r>
                <w:r w:rsidRPr="004869AF">
                  <w:rPr>
                    <w:rFonts w:eastAsiaTheme="minorEastAsia"/>
                    <w:sz w:val="22"/>
                    <w:szCs w:val="22"/>
                  </w:rPr>
                  <w:t xml:space="preserve"> to ensure the safety and security of students, staff, and faculty.</w:t>
                </w:r>
                <w:r w:rsidR="00371E8B" w:rsidRPr="004869AF">
                  <w:rPr>
                    <w:rFonts w:eastAsiaTheme="minorEastAsia"/>
                    <w:sz w:val="22"/>
                    <w:szCs w:val="22"/>
                  </w:rPr>
                  <w:t xml:space="preserve"> </w:t>
                </w:r>
                <w:r w:rsidR="00AF22B4" w:rsidRPr="004869AF">
                  <w:rPr>
                    <w:rFonts w:eastAsiaTheme="minorEastAsia"/>
                    <w:sz w:val="22"/>
                    <w:szCs w:val="22"/>
                  </w:rPr>
                  <w:t>For s</w:t>
                </w:r>
                <w:r w:rsidR="00371E8B" w:rsidRPr="004869AF">
                  <w:rPr>
                    <w:color w:val="2C2A29"/>
                    <w:sz w:val="22"/>
                    <w:szCs w:val="22"/>
                  </w:rPr>
                  <w:t>ome emergencies, such as impending weather, the University closure</w:t>
                </w:r>
                <w:r w:rsidR="00982807" w:rsidRPr="004869AF">
                  <w:rPr>
                    <w:color w:val="2C2A29"/>
                    <w:sz w:val="22"/>
                    <w:szCs w:val="22"/>
                  </w:rPr>
                  <w:t xml:space="preserve"> period</w:t>
                </w:r>
                <w:r w:rsidR="00371E8B" w:rsidRPr="004869AF">
                  <w:rPr>
                    <w:color w:val="2C2A29"/>
                    <w:sz w:val="22"/>
                    <w:szCs w:val="22"/>
                  </w:rPr>
                  <w:t xml:space="preserve"> may be different from the imminent threat period.</w:t>
                </w:r>
                <w:r w:rsidR="00970A4F" w:rsidRPr="004869AF">
                  <w:t xml:space="preserve"> </w:t>
                </w:r>
                <w:r w:rsidR="00970A4F" w:rsidRPr="004869AF">
                  <w:rPr>
                    <w:color w:val="2C2A29"/>
                    <w:sz w:val="22"/>
                    <w:szCs w:val="22"/>
                  </w:rPr>
                  <w:t>E</w:t>
                </w:r>
                <w:r w:rsidR="001B5A9D" w:rsidRPr="004869AF">
                  <w:rPr>
                    <w:color w:val="2C2A29"/>
                    <w:sz w:val="22"/>
                    <w:szCs w:val="22"/>
                  </w:rPr>
                  <w:t>mployees that may be required to w</w:t>
                </w:r>
                <w:r w:rsidR="00371E8B" w:rsidRPr="004869AF">
                  <w:rPr>
                    <w:color w:val="2C2A29"/>
                    <w:sz w:val="22"/>
                    <w:szCs w:val="22"/>
                  </w:rPr>
                  <w:t xml:space="preserve">ork before, during, or after </w:t>
                </w:r>
                <w:r w:rsidR="001B5A9D" w:rsidRPr="004869AF">
                  <w:rPr>
                    <w:color w:val="2C2A29"/>
                    <w:sz w:val="22"/>
                    <w:szCs w:val="22"/>
                  </w:rPr>
                  <w:t xml:space="preserve">a </w:t>
                </w:r>
                <w:r w:rsidRPr="004869AF">
                  <w:rPr>
                    <w:color w:val="2C2A29"/>
                    <w:sz w:val="22"/>
                    <w:szCs w:val="22"/>
                  </w:rPr>
                  <w:t>University closure</w:t>
                </w:r>
                <w:r w:rsidR="001B5A9D" w:rsidRPr="004869AF">
                  <w:rPr>
                    <w:color w:val="2C2A29"/>
                    <w:sz w:val="22"/>
                    <w:szCs w:val="22"/>
                  </w:rPr>
                  <w:t xml:space="preserve"> will fall into the following categories:</w:t>
                </w:r>
              </w:p>
              <w:p w14:paraId="6DC70102" w14:textId="77777777" w:rsidR="009D3C2B" w:rsidRPr="004869AF" w:rsidRDefault="009D3C2B" w:rsidP="009D3C2B">
                <w:pPr>
                  <w:pStyle w:val="NormalWeb"/>
                  <w:ind w:left="1200"/>
                  <w:rPr>
                    <w:color w:val="2C2A29"/>
                    <w:sz w:val="22"/>
                    <w:szCs w:val="22"/>
                  </w:rPr>
                </w:pPr>
                <w:r w:rsidRPr="004869AF">
                  <w:rPr>
                    <w:color w:val="2C2A29"/>
                    <w:sz w:val="22"/>
                    <w:szCs w:val="22"/>
                  </w:rPr>
                  <w:t xml:space="preserve">1. </w:t>
                </w:r>
                <w:r w:rsidR="00D95367" w:rsidRPr="004869AF">
                  <w:rPr>
                    <w:color w:val="2C2A29"/>
                    <w:sz w:val="22"/>
                    <w:szCs w:val="22"/>
                  </w:rPr>
                  <w:t>Essential</w:t>
                </w:r>
                <w:r w:rsidR="001B5A9D" w:rsidRPr="004869AF">
                  <w:rPr>
                    <w:color w:val="2C2A29"/>
                    <w:sz w:val="22"/>
                    <w:szCs w:val="22"/>
                  </w:rPr>
                  <w:t xml:space="preserve"> </w:t>
                </w:r>
                <w:r w:rsidR="00490083" w:rsidRPr="004869AF">
                  <w:rPr>
                    <w:color w:val="2C2A29"/>
                    <w:sz w:val="22"/>
                    <w:szCs w:val="22"/>
                  </w:rPr>
                  <w:t xml:space="preserve">Critical </w:t>
                </w:r>
                <w:r w:rsidR="001B5A9D" w:rsidRPr="004869AF">
                  <w:rPr>
                    <w:color w:val="2C2A29"/>
                    <w:sz w:val="22"/>
                    <w:szCs w:val="22"/>
                  </w:rPr>
                  <w:t>Personnel</w:t>
                </w:r>
              </w:p>
              <w:p w14:paraId="4CDA478F" w14:textId="77777777" w:rsidR="00062CF5" w:rsidRPr="004869AF" w:rsidRDefault="009D3C2B" w:rsidP="00062CF5">
                <w:pPr>
                  <w:pStyle w:val="NormalWeb"/>
                  <w:ind w:left="1800"/>
                  <w:rPr>
                    <w:color w:val="2C2A29"/>
                    <w:sz w:val="22"/>
                    <w:szCs w:val="22"/>
                  </w:rPr>
                </w:pPr>
                <w:r w:rsidRPr="004869AF">
                  <w:rPr>
                    <w:color w:val="2C2A29"/>
                    <w:sz w:val="22"/>
                    <w:szCs w:val="22"/>
                  </w:rPr>
                  <w:t xml:space="preserve">a. </w:t>
                </w:r>
                <w:r w:rsidR="001B5A9D" w:rsidRPr="004869AF">
                  <w:rPr>
                    <w:color w:val="2C2A29"/>
                    <w:sz w:val="22"/>
                    <w:szCs w:val="22"/>
                  </w:rPr>
                  <w:t>Exempt and nonexempt employees that support critical functions that cannot be paused during a University wide closure.</w:t>
                </w:r>
                <w:r w:rsidR="008652DF" w:rsidRPr="004869AF">
                  <w:rPr>
                    <w:color w:val="2C2A29"/>
                    <w:sz w:val="22"/>
                    <w:szCs w:val="22"/>
                  </w:rPr>
                  <w:t xml:space="preserve"> </w:t>
                </w:r>
                <w:r w:rsidRPr="004869AF">
                  <w:rPr>
                    <w:color w:val="2C2A29"/>
                    <w:sz w:val="22"/>
                    <w:szCs w:val="22"/>
                  </w:rPr>
                  <w:br/>
                </w:r>
                <w:r w:rsidRPr="004869AF">
                  <w:rPr>
                    <w:color w:val="2C2A29"/>
                    <w:sz w:val="22"/>
                    <w:szCs w:val="22"/>
                  </w:rPr>
                  <w:br/>
                  <w:t xml:space="preserve">b. </w:t>
                </w:r>
                <w:r w:rsidR="008652DF" w:rsidRPr="004869AF">
                  <w:rPr>
                    <w:color w:val="2C2A29"/>
                    <w:sz w:val="22"/>
                    <w:szCs w:val="22"/>
                  </w:rPr>
                  <w:t>Employees whose presence on campus is necessary to ensure the safety and security of the campus community and University resources</w:t>
                </w:r>
                <w:r w:rsidR="008C69CD" w:rsidRPr="004869AF">
                  <w:rPr>
                    <w:color w:val="2C2A29"/>
                    <w:sz w:val="22"/>
                    <w:szCs w:val="22"/>
                  </w:rPr>
                  <w:t xml:space="preserve"> before, during, or after the </w:t>
                </w:r>
                <w:r w:rsidR="00A1120C" w:rsidRPr="004869AF">
                  <w:rPr>
                    <w:color w:val="2C2A29"/>
                    <w:sz w:val="22"/>
                    <w:szCs w:val="22"/>
                  </w:rPr>
                  <w:t>imminent</w:t>
                </w:r>
                <w:r w:rsidR="008C69CD" w:rsidRPr="004869AF">
                  <w:rPr>
                    <w:color w:val="2C2A29"/>
                    <w:sz w:val="22"/>
                    <w:szCs w:val="22"/>
                  </w:rPr>
                  <w:t xml:space="preserve"> threat period</w:t>
                </w:r>
              </w:p>
              <w:p w14:paraId="44697FDC" w14:textId="69440C77" w:rsidR="00633E8D" w:rsidRPr="004869AF" w:rsidRDefault="009D3C2B" w:rsidP="00062CF5">
                <w:pPr>
                  <w:pStyle w:val="NormalWeb"/>
                  <w:ind w:left="1800"/>
                  <w:rPr>
                    <w:color w:val="2C2A29"/>
                    <w:sz w:val="22"/>
                    <w:szCs w:val="22"/>
                  </w:rPr>
                </w:pPr>
                <w:r w:rsidRPr="004869AF">
                  <w:rPr>
                    <w:color w:val="2C2A29"/>
                    <w:sz w:val="22"/>
                    <w:szCs w:val="22"/>
                  </w:rPr>
                  <w:t xml:space="preserve">c. </w:t>
                </w:r>
                <w:r w:rsidR="00A1120C" w:rsidRPr="004869AF">
                  <w:rPr>
                    <w:color w:val="2C2A29"/>
                    <w:sz w:val="22"/>
                    <w:szCs w:val="22"/>
                  </w:rPr>
                  <w:t>May be r</w:t>
                </w:r>
                <w:r w:rsidR="008652DF" w:rsidRPr="004869AF">
                  <w:rPr>
                    <w:color w:val="2C2A29"/>
                    <w:sz w:val="22"/>
                    <w:szCs w:val="22"/>
                  </w:rPr>
                  <w:t>equired to work</w:t>
                </w:r>
                <w:r w:rsidR="00192726" w:rsidRPr="004869AF">
                  <w:rPr>
                    <w:color w:val="2C2A29"/>
                    <w:sz w:val="22"/>
                    <w:szCs w:val="22"/>
                  </w:rPr>
                  <w:t xml:space="preserve"> and</w:t>
                </w:r>
                <w:r w:rsidR="00A1120C" w:rsidRPr="004869AF">
                  <w:rPr>
                    <w:color w:val="2C2A29"/>
                    <w:sz w:val="22"/>
                    <w:szCs w:val="22"/>
                  </w:rPr>
                  <w:t xml:space="preserve">/or </w:t>
                </w:r>
                <w:r w:rsidR="00192726" w:rsidRPr="004869AF">
                  <w:rPr>
                    <w:color w:val="2C2A29"/>
                    <w:sz w:val="22"/>
                    <w:szCs w:val="22"/>
                  </w:rPr>
                  <w:t xml:space="preserve">remain </w:t>
                </w:r>
                <w:r w:rsidR="00AF22B4" w:rsidRPr="004869AF">
                  <w:rPr>
                    <w:color w:val="2C2A29"/>
                    <w:sz w:val="22"/>
                    <w:szCs w:val="22"/>
                  </w:rPr>
                  <w:t>on campus</w:t>
                </w:r>
                <w:r w:rsidR="008652DF" w:rsidRPr="004869AF">
                  <w:rPr>
                    <w:color w:val="2C2A29"/>
                    <w:sz w:val="22"/>
                    <w:szCs w:val="22"/>
                  </w:rPr>
                  <w:t xml:space="preserve"> during</w:t>
                </w:r>
                <w:r w:rsidR="00490083" w:rsidRPr="004869AF">
                  <w:rPr>
                    <w:color w:val="2C2A29"/>
                    <w:sz w:val="22"/>
                    <w:szCs w:val="22"/>
                  </w:rPr>
                  <w:t xml:space="preserve"> a</w:t>
                </w:r>
                <w:r w:rsidR="008652DF" w:rsidRPr="004869AF">
                  <w:rPr>
                    <w:color w:val="2C2A29"/>
                    <w:sz w:val="22"/>
                    <w:szCs w:val="22"/>
                  </w:rPr>
                  <w:t xml:space="preserve"> period</w:t>
                </w:r>
                <w:r w:rsidR="00192726" w:rsidRPr="004869AF">
                  <w:rPr>
                    <w:color w:val="2C2A29"/>
                    <w:sz w:val="22"/>
                    <w:szCs w:val="22"/>
                  </w:rPr>
                  <w:t xml:space="preserve"> of imminent threat, which includes adverse weather conditions and/or emergency events.</w:t>
                </w:r>
              </w:p>
              <w:p w14:paraId="1E5AFB48" w14:textId="729F219F" w:rsidR="00D95367" w:rsidRPr="004869AF" w:rsidRDefault="006071ED" w:rsidP="009D3C2B">
                <w:pPr>
                  <w:pStyle w:val="NormalWeb"/>
                  <w:ind w:left="1800"/>
                  <w:rPr>
                    <w:color w:val="2C2A29"/>
                    <w:sz w:val="22"/>
                    <w:szCs w:val="22"/>
                  </w:rPr>
                </w:pPr>
                <w:r w:rsidRPr="004869AF">
                  <w:rPr>
                    <w:color w:val="2C2A29"/>
                    <w:sz w:val="22"/>
                    <w:szCs w:val="22"/>
                  </w:rPr>
                  <w:t>d. Employees designated as Essential Critical Personnel will be required to report to work</w:t>
                </w:r>
                <w:r w:rsidR="00A1120C" w:rsidRPr="004869AF">
                  <w:rPr>
                    <w:color w:val="2C2A29"/>
                    <w:sz w:val="22"/>
                    <w:szCs w:val="22"/>
                  </w:rPr>
                  <w:t xml:space="preserve"> as determined by the</w:t>
                </w:r>
                <w:r w:rsidR="00616D72" w:rsidRPr="004869AF">
                  <w:rPr>
                    <w:color w:val="2C2A29"/>
                    <w:sz w:val="22"/>
                    <w:szCs w:val="22"/>
                  </w:rPr>
                  <w:t xml:space="preserve"> </w:t>
                </w:r>
                <w:r w:rsidR="00A1120C" w:rsidRPr="004869AF">
                  <w:rPr>
                    <w:color w:val="2C2A29"/>
                    <w:sz w:val="22"/>
                    <w:szCs w:val="22"/>
                  </w:rPr>
                  <w:t xml:space="preserve">Dean, Director, Department </w:t>
                </w:r>
                <w:proofErr w:type="gramStart"/>
                <w:r w:rsidR="00A1120C" w:rsidRPr="004869AF">
                  <w:rPr>
                    <w:color w:val="2C2A29"/>
                    <w:sz w:val="22"/>
                    <w:szCs w:val="22"/>
                  </w:rPr>
                  <w:t>Head</w:t>
                </w:r>
                <w:proofErr w:type="gramEnd"/>
                <w:r w:rsidR="00A1120C" w:rsidRPr="004869AF">
                  <w:rPr>
                    <w:color w:val="2C2A29"/>
                    <w:sz w:val="22"/>
                    <w:szCs w:val="22"/>
                  </w:rPr>
                  <w:t xml:space="preserve"> or designee.</w:t>
                </w:r>
                <w:r w:rsidR="00616D72" w:rsidRPr="004869AF">
                  <w:rPr>
                    <w:color w:val="2C2A29"/>
                    <w:sz w:val="22"/>
                    <w:szCs w:val="22"/>
                  </w:rPr>
                  <w:t xml:space="preserve"> Any exemptions from reporting to work must be </w:t>
                </w:r>
                <w:r w:rsidR="000F1697" w:rsidRPr="004869AF">
                  <w:rPr>
                    <w:color w:val="2C2A29"/>
                    <w:sz w:val="22"/>
                    <w:szCs w:val="22"/>
                  </w:rPr>
                  <w:t>approved by</w:t>
                </w:r>
                <w:r w:rsidR="00616D72" w:rsidRPr="004869AF">
                  <w:rPr>
                    <w:color w:val="2C2A29"/>
                    <w:sz w:val="22"/>
                    <w:szCs w:val="22"/>
                  </w:rPr>
                  <w:t xml:space="preserve"> the Dean, Director, Department </w:t>
                </w:r>
                <w:proofErr w:type="gramStart"/>
                <w:r w:rsidR="00616D72" w:rsidRPr="004869AF">
                  <w:rPr>
                    <w:color w:val="2C2A29"/>
                    <w:sz w:val="22"/>
                    <w:szCs w:val="22"/>
                  </w:rPr>
                  <w:t>Head</w:t>
                </w:r>
                <w:proofErr w:type="gramEnd"/>
                <w:r w:rsidR="00616D72" w:rsidRPr="004869AF">
                  <w:rPr>
                    <w:color w:val="2C2A29"/>
                    <w:sz w:val="22"/>
                    <w:szCs w:val="22"/>
                  </w:rPr>
                  <w:t xml:space="preserve"> or designee.</w:t>
                </w:r>
              </w:p>
              <w:p w14:paraId="6D313CB0" w14:textId="6B61A003" w:rsidR="00AB608C" w:rsidRPr="004869AF" w:rsidRDefault="00AB608C" w:rsidP="009D3C2B">
                <w:pPr>
                  <w:pStyle w:val="NormalWeb"/>
                  <w:ind w:left="1800"/>
                  <w:rPr>
                    <w:color w:val="2C2A29"/>
                    <w:sz w:val="22"/>
                    <w:szCs w:val="22"/>
                  </w:rPr>
                </w:pPr>
                <w:r w:rsidRPr="004869AF">
                  <w:rPr>
                    <w:color w:val="2C2A29"/>
                    <w:sz w:val="22"/>
                    <w:szCs w:val="22"/>
                  </w:rPr>
                  <w:t xml:space="preserve">e. Departments should designate employees as Essential Critical Personnel prior to the University closure. Final reports of those that have been designated as Essential Critical Personnel are due to Human Resources no later </w:t>
                </w:r>
                <w:r w:rsidR="000F1697" w:rsidRPr="004869AF">
                  <w:rPr>
                    <w:color w:val="2C2A29"/>
                    <w:sz w:val="22"/>
                    <w:szCs w:val="22"/>
                  </w:rPr>
                  <w:t>than 72</w:t>
                </w:r>
                <w:r w:rsidRPr="004869AF">
                  <w:rPr>
                    <w:color w:val="2C2A29"/>
                    <w:sz w:val="22"/>
                    <w:szCs w:val="22"/>
                  </w:rPr>
                  <w:t xml:space="preserve"> hours after business operations have resumed. </w:t>
                </w:r>
              </w:p>
              <w:p w14:paraId="6AF56C77" w14:textId="77777777" w:rsidR="000E14B5" w:rsidRPr="004869AF" w:rsidRDefault="000E14B5" w:rsidP="009D3C2B">
                <w:pPr>
                  <w:pStyle w:val="NormalWeb"/>
                  <w:ind w:left="1800"/>
                  <w:rPr>
                    <w:color w:val="2C2A29"/>
                    <w:sz w:val="22"/>
                    <w:szCs w:val="22"/>
                  </w:rPr>
                </w:pPr>
              </w:p>
              <w:p w14:paraId="644F067E" w14:textId="4C61B0E6" w:rsidR="00490083" w:rsidRPr="004869AF" w:rsidRDefault="00062CF5" w:rsidP="009D3C2B">
                <w:pPr>
                  <w:pStyle w:val="NormalWeb"/>
                  <w:ind w:left="1200"/>
                  <w:rPr>
                    <w:color w:val="2C2A29"/>
                    <w:sz w:val="22"/>
                    <w:szCs w:val="22"/>
                  </w:rPr>
                </w:pPr>
                <w:r w:rsidRPr="004869AF">
                  <w:rPr>
                    <w:color w:val="2C2A29"/>
                    <w:sz w:val="22"/>
                    <w:szCs w:val="22"/>
                  </w:rPr>
                  <w:lastRenderedPageBreak/>
                  <w:t>2</w:t>
                </w:r>
                <w:r w:rsidR="009D3C2B" w:rsidRPr="004869AF">
                  <w:rPr>
                    <w:color w:val="2C2A29"/>
                    <w:sz w:val="22"/>
                    <w:szCs w:val="22"/>
                  </w:rPr>
                  <w:t xml:space="preserve">. </w:t>
                </w:r>
                <w:r w:rsidR="00490083" w:rsidRPr="004869AF">
                  <w:rPr>
                    <w:color w:val="2C2A29"/>
                    <w:sz w:val="22"/>
                    <w:szCs w:val="22"/>
                  </w:rPr>
                  <w:t>Medium Priority Personnel</w:t>
                </w:r>
              </w:p>
              <w:p w14:paraId="46B8F3F4" w14:textId="77777777" w:rsidR="000E14B5" w:rsidRPr="004869AF" w:rsidRDefault="00490083" w:rsidP="000E14B5">
                <w:pPr>
                  <w:pStyle w:val="NormalWeb"/>
                  <w:ind w:left="1800"/>
                  <w:rPr>
                    <w:rFonts w:eastAsiaTheme="minorEastAsia"/>
                    <w:sz w:val="22"/>
                    <w:szCs w:val="22"/>
                  </w:rPr>
                </w:pPr>
                <w:r w:rsidRPr="004869AF">
                  <w:rPr>
                    <w:color w:val="2C2A29"/>
                    <w:sz w:val="22"/>
                    <w:szCs w:val="22"/>
                  </w:rPr>
                  <w:t xml:space="preserve">a. </w:t>
                </w:r>
                <w:r w:rsidR="000E14B5" w:rsidRPr="004869AF">
                  <w:rPr>
                    <w:rFonts w:eastAsiaTheme="minorEastAsia"/>
                    <w:sz w:val="22"/>
                    <w:szCs w:val="22"/>
                  </w:rPr>
                  <w:t>Exempt and nonexempt employees that support functions of individual departments/units.</w:t>
                </w:r>
              </w:p>
              <w:p w14:paraId="4073ABDC" w14:textId="35D968AB" w:rsidR="002D0A36" w:rsidRPr="004869AF" w:rsidRDefault="00490083" w:rsidP="00490083">
                <w:pPr>
                  <w:pStyle w:val="NormalWeb"/>
                  <w:ind w:left="1800"/>
                  <w:rPr>
                    <w:rFonts w:eastAsiaTheme="minorEastAsia"/>
                    <w:sz w:val="22"/>
                    <w:szCs w:val="22"/>
                  </w:rPr>
                </w:pPr>
                <w:r w:rsidRPr="004869AF">
                  <w:rPr>
                    <w:color w:val="2C2A29"/>
                    <w:sz w:val="22"/>
                    <w:szCs w:val="22"/>
                  </w:rPr>
                  <w:t xml:space="preserve">b. </w:t>
                </w:r>
                <w:r w:rsidR="000E14B5" w:rsidRPr="004869AF">
                  <w:rPr>
                    <w:rFonts w:eastAsiaTheme="minorEastAsia"/>
                    <w:sz w:val="22"/>
                    <w:szCs w:val="22"/>
                  </w:rPr>
                  <w:t>Employees whose presence on campus</w:t>
                </w:r>
                <w:r w:rsidR="00FF2987" w:rsidRPr="004869AF">
                  <w:rPr>
                    <w:rFonts w:eastAsiaTheme="minorEastAsia"/>
                    <w:sz w:val="22"/>
                    <w:szCs w:val="22"/>
                  </w:rPr>
                  <w:t xml:space="preserve"> or </w:t>
                </w:r>
                <w:r w:rsidR="003B3BC5" w:rsidRPr="004869AF">
                  <w:rPr>
                    <w:rFonts w:eastAsiaTheme="minorEastAsia"/>
                    <w:sz w:val="22"/>
                    <w:szCs w:val="22"/>
                  </w:rPr>
                  <w:t>remote availability</w:t>
                </w:r>
                <w:r w:rsidR="00757506" w:rsidRPr="004869AF">
                  <w:rPr>
                    <w:rFonts w:eastAsiaTheme="minorEastAsia"/>
                    <w:sz w:val="22"/>
                    <w:szCs w:val="22"/>
                  </w:rPr>
                  <w:t xml:space="preserve"> may be re</w:t>
                </w:r>
                <w:r w:rsidR="00FF2987" w:rsidRPr="004869AF">
                  <w:rPr>
                    <w:rFonts w:eastAsiaTheme="minorEastAsia"/>
                    <w:sz w:val="22"/>
                    <w:szCs w:val="22"/>
                  </w:rPr>
                  <w:t>quested</w:t>
                </w:r>
                <w:r w:rsidR="000E14B5" w:rsidRPr="004869AF">
                  <w:rPr>
                    <w:rFonts w:eastAsiaTheme="minorEastAsia"/>
                    <w:sz w:val="22"/>
                    <w:szCs w:val="22"/>
                  </w:rPr>
                  <w:t xml:space="preserve"> immediately before or after the imminent threat period</w:t>
                </w:r>
                <w:r w:rsidR="00757506" w:rsidRPr="004869AF">
                  <w:rPr>
                    <w:rFonts w:eastAsiaTheme="minorEastAsia"/>
                    <w:sz w:val="22"/>
                    <w:szCs w:val="22"/>
                  </w:rPr>
                  <w:t>.</w:t>
                </w:r>
              </w:p>
              <w:p w14:paraId="3094F70E" w14:textId="4013CE98" w:rsidR="002D0A36" w:rsidRPr="004869AF" w:rsidRDefault="002D0A36" w:rsidP="00490083">
                <w:pPr>
                  <w:pStyle w:val="NormalWeb"/>
                  <w:ind w:left="1800"/>
                  <w:rPr>
                    <w:rFonts w:eastAsiaTheme="minorEastAsia"/>
                    <w:sz w:val="22"/>
                    <w:szCs w:val="22"/>
                  </w:rPr>
                </w:pPr>
                <w:r w:rsidRPr="004869AF">
                  <w:rPr>
                    <w:rFonts w:eastAsiaTheme="minorEastAsia"/>
                    <w:sz w:val="22"/>
                    <w:szCs w:val="22"/>
                  </w:rPr>
                  <w:t xml:space="preserve">c. </w:t>
                </w:r>
                <w:r w:rsidR="00757506" w:rsidRPr="004869AF">
                  <w:rPr>
                    <w:rFonts w:eastAsiaTheme="minorEastAsia"/>
                    <w:sz w:val="22"/>
                    <w:szCs w:val="22"/>
                  </w:rPr>
                  <w:t>Employees who may need to work additional</w:t>
                </w:r>
                <w:r w:rsidR="003B3BC5" w:rsidRPr="004869AF">
                  <w:rPr>
                    <w:rFonts w:eastAsiaTheme="minorEastAsia"/>
                    <w:sz w:val="22"/>
                    <w:szCs w:val="22"/>
                  </w:rPr>
                  <w:t xml:space="preserve"> hours</w:t>
                </w:r>
                <w:r w:rsidR="00757506" w:rsidRPr="004869AF">
                  <w:rPr>
                    <w:rFonts w:eastAsiaTheme="minorEastAsia"/>
                    <w:sz w:val="22"/>
                    <w:szCs w:val="22"/>
                  </w:rPr>
                  <w:t xml:space="preserve"> in preparation </w:t>
                </w:r>
                <w:r w:rsidR="00AF22B4" w:rsidRPr="004869AF">
                  <w:rPr>
                    <w:rFonts w:eastAsiaTheme="minorEastAsia"/>
                    <w:sz w:val="22"/>
                    <w:szCs w:val="22"/>
                  </w:rPr>
                  <w:t xml:space="preserve">for </w:t>
                </w:r>
                <w:r w:rsidR="00757506" w:rsidRPr="004869AF">
                  <w:rPr>
                    <w:rFonts w:eastAsiaTheme="minorEastAsia"/>
                    <w:sz w:val="22"/>
                    <w:szCs w:val="22"/>
                  </w:rPr>
                  <w:t>or following the University closure</w:t>
                </w:r>
                <w:r w:rsidR="003B629D" w:rsidRPr="004869AF">
                  <w:rPr>
                    <w:rFonts w:eastAsiaTheme="minorEastAsia"/>
                    <w:sz w:val="22"/>
                    <w:szCs w:val="22"/>
                  </w:rPr>
                  <w:t>, either on campus or remotely as identified by the Dean, Director, Department Head, or designee.</w:t>
                </w:r>
              </w:p>
              <w:p w14:paraId="5DD6AFA6" w14:textId="5DD9BC48" w:rsidR="00757506" w:rsidRPr="004869AF" w:rsidRDefault="00757506" w:rsidP="00490083">
                <w:pPr>
                  <w:pStyle w:val="NormalWeb"/>
                  <w:ind w:left="1800"/>
                  <w:rPr>
                    <w:rFonts w:eastAsiaTheme="minorEastAsia"/>
                    <w:sz w:val="22"/>
                    <w:szCs w:val="22"/>
                  </w:rPr>
                </w:pPr>
                <w:r w:rsidRPr="004869AF">
                  <w:rPr>
                    <w:rFonts w:eastAsiaTheme="minorEastAsia"/>
                    <w:sz w:val="22"/>
                    <w:szCs w:val="22"/>
                  </w:rPr>
                  <w:t xml:space="preserve">d. Must receive approval from the Dean, Director, Department Head, or designee before performing work during a University closure or working additional hours outside of </w:t>
                </w:r>
                <w:r w:rsidR="00AF22B4" w:rsidRPr="004869AF">
                  <w:rPr>
                    <w:rFonts w:eastAsiaTheme="minorEastAsia"/>
                    <w:sz w:val="22"/>
                    <w:szCs w:val="22"/>
                  </w:rPr>
                  <w:t>regularly</w:t>
                </w:r>
                <w:r w:rsidRPr="004869AF">
                  <w:rPr>
                    <w:rFonts w:eastAsiaTheme="minorEastAsia"/>
                    <w:sz w:val="22"/>
                    <w:szCs w:val="22"/>
                  </w:rPr>
                  <w:t xml:space="preserve"> scheduled hours. </w:t>
                </w:r>
              </w:p>
              <w:p w14:paraId="45127C2B" w14:textId="42D1667C" w:rsidR="00972E7A" w:rsidRPr="004869AF" w:rsidRDefault="00972E7A" w:rsidP="00490083">
                <w:pPr>
                  <w:pStyle w:val="NormalWeb"/>
                  <w:ind w:left="1800"/>
                  <w:rPr>
                    <w:rFonts w:eastAsiaTheme="minorEastAsia"/>
                    <w:sz w:val="22"/>
                    <w:szCs w:val="22"/>
                  </w:rPr>
                </w:pPr>
                <w:r w:rsidRPr="004869AF">
                  <w:rPr>
                    <w:rFonts w:eastAsiaTheme="minorEastAsia"/>
                    <w:sz w:val="22"/>
                    <w:szCs w:val="22"/>
                  </w:rPr>
                  <w:t xml:space="preserve">e. Departments should designate employees as Medium </w:t>
                </w:r>
                <w:r w:rsidR="0086546F" w:rsidRPr="004869AF">
                  <w:rPr>
                    <w:rFonts w:eastAsiaTheme="minorEastAsia"/>
                    <w:sz w:val="22"/>
                    <w:szCs w:val="22"/>
                  </w:rPr>
                  <w:t xml:space="preserve">Priority Personnel and </w:t>
                </w:r>
                <w:r w:rsidR="00D15938" w:rsidRPr="004869AF">
                  <w:rPr>
                    <w:rFonts w:eastAsiaTheme="minorEastAsia"/>
                    <w:sz w:val="22"/>
                    <w:szCs w:val="22"/>
                  </w:rPr>
                  <w:t>maintain a record of such designation at the department level.</w:t>
                </w:r>
              </w:p>
              <w:p w14:paraId="08D751D6" w14:textId="7B2A1943" w:rsidR="004E7DDC" w:rsidRPr="004869AF" w:rsidRDefault="004E7DDC" w:rsidP="008A554D">
                <w:pPr>
                  <w:pStyle w:val="NormalWeb"/>
                  <w:rPr>
                    <w:sz w:val="22"/>
                    <w:szCs w:val="22"/>
                  </w:rPr>
                </w:pPr>
                <w:r w:rsidRPr="004869AF">
                  <w:rPr>
                    <w:sz w:val="22"/>
                    <w:szCs w:val="22"/>
                  </w:rPr>
                  <w:t xml:space="preserve">Employees directly involved with the protection of life and property (i.e., law enforcement) and patient care (i.e., nurses and emergency first responders) are considered essential in emergencies based on the duties inherent in their position. They do not require designation under this policy. Compensation for such employees is consistent with the terms and conditions of their employment and applicable University policies. </w:t>
                </w:r>
              </w:p>
              <w:p w14:paraId="5943EBAF" w14:textId="0E753260" w:rsidR="00663CDE" w:rsidRPr="004869AF" w:rsidRDefault="00295892" w:rsidP="00311A28">
                <w:pPr>
                  <w:pStyle w:val="NormalWeb"/>
                  <w:rPr>
                    <w:sz w:val="22"/>
                    <w:szCs w:val="22"/>
                  </w:rPr>
                </w:pPr>
                <w:r w:rsidRPr="004869AF">
                  <w:rPr>
                    <w:sz w:val="22"/>
                    <w:szCs w:val="22"/>
                  </w:rPr>
                  <w:t xml:space="preserve">The compensation of Essential Personnel shall be contingent upon </w:t>
                </w:r>
                <w:r w:rsidR="00AF22B4" w:rsidRPr="004869AF">
                  <w:rPr>
                    <w:sz w:val="22"/>
                    <w:szCs w:val="22"/>
                  </w:rPr>
                  <w:t>their</w:t>
                </w:r>
                <w:r w:rsidRPr="004869AF">
                  <w:rPr>
                    <w:sz w:val="22"/>
                    <w:szCs w:val="22"/>
                  </w:rPr>
                  <w:t xml:space="preserve"> </w:t>
                </w:r>
                <w:r w:rsidR="00AD060A" w:rsidRPr="004869AF">
                  <w:rPr>
                    <w:sz w:val="22"/>
                    <w:szCs w:val="22"/>
                  </w:rPr>
                  <w:t xml:space="preserve">FLSA </w:t>
                </w:r>
                <w:r w:rsidRPr="004869AF">
                  <w:rPr>
                    <w:sz w:val="22"/>
                    <w:szCs w:val="22"/>
                  </w:rPr>
                  <w:t>classification</w:t>
                </w:r>
                <w:r w:rsidR="00CD4D6B" w:rsidRPr="004869AF">
                  <w:rPr>
                    <w:sz w:val="22"/>
                    <w:szCs w:val="22"/>
                  </w:rPr>
                  <w:t>, pay band,</w:t>
                </w:r>
                <w:r w:rsidRPr="004869AF">
                  <w:rPr>
                    <w:sz w:val="22"/>
                    <w:szCs w:val="22"/>
                  </w:rPr>
                  <w:t xml:space="preserve"> </w:t>
                </w:r>
                <w:r w:rsidR="00AD060A" w:rsidRPr="004869AF">
                  <w:rPr>
                    <w:sz w:val="22"/>
                    <w:szCs w:val="22"/>
                  </w:rPr>
                  <w:t>and essential personnel designation level.</w:t>
                </w:r>
              </w:p>
              <w:p w14:paraId="54D0E101" w14:textId="0F8C5DF7" w:rsidR="00663CDE" w:rsidRPr="004869AF" w:rsidRDefault="00663CDE" w:rsidP="00663CDE">
                <w:pPr>
                  <w:pStyle w:val="NormalWeb"/>
                  <w:ind w:left="1200"/>
                  <w:rPr>
                    <w:color w:val="2C2A29"/>
                    <w:sz w:val="22"/>
                    <w:szCs w:val="22"/>
                  </w:rPr>
                </w:pPr>
                <w:r w:rsidRPr="004869AF">
                  <w:rPr>
                    <w:color w:val="2C2A29"/>
                    <w:sz w:val="22"/>
                    <w:szCs w:val="22"/>
                  </w:rPr>
                  <w:t>1. Premium Compensation</w:t>
                </w:r>
              </w:p>
              <w:p w14:paraId="6C54BA0E" w14:textId="3DCF374D" w:rsidR="00663CDE" w:rsidRPr="004869AF" w:rsidRDefault="00663CDE" w:rsidP="00663CDE">
                <w:pPr>
                  <w:pStyle w:val="NormalWeb"/>
                  <w:ind w:left="1800"/>
                  <w:rPr>
                    <w:rFonts w:eastAsiaTheme="minorEastAsia"/>
                    <w:sz w:val="22"/>
                    <w:szCs w:val="22"/>
                  </w:rPr>
                </w:pPr>
                <w:r w:rsidRPr="004869AF">
                  <w:rPr>
                    <w:color w:val="2C2A29"/>
                    <w:sz w:val="22"/>
                    <w:szCs w:val="22"/>
                  </w:rPr>
                  <w:t xml:space="preserve">a. </w:t>
                </w:r>
                <w:r w:rsidRPr="004869AF">
                  <w:rPr>
                    <w:rFonts w:eastAsiaTheme="minorEastAsia"/>
                    <w:sz w:val="22"/>
                    <w:szCs w:val="22"/>
                  </w:rPr>
                  <w:t>Payment of one-and-half multiplied by an employee’s hourly rate for work performed during an emergency closure of the University.</w:t>
                </w:r>
                <w:r w:rsidR="00754174" w:rsidRPr="004869AF">
                  <w:rPr>
                    <w:rFonts w:eastAsiaTheme="minorEastAsia"/>
                    <w:sz w:val="22"/>
                    <w:szCs w:val="22"/>
                  </w:rPr>
                  <w:t xml:space="preserve"> Will be paid in addition to any regular rate of pay and/or leave reported before or after the University closure.</w:t>
                </w:r>
                <w:r w:rsidR="009F35D6" w:rsidRPr="004869AF">
                  <w:rPr>
                    <w:rFonts w:eastAsiaTheme="minorEastAsia"/>
                    <w:sz w:val="22"/>
                    <w:szCs w:val="22"/>
                  </w:rPr>
                  <w:t xml:space="preserve"> Payment will be made within 30 days of the University reopening.</w:t>
                </w:r>
              </w:p>
              <w:p w14:paraId="574E05DF" w14:textId="632AD225" w:rsidR="00663CDE" w:rsidRPr="004869AF" w:rsidRDefault="00663CDE" w:rsidP="00663CDE">
                <w:pPr>
                  <w:pStyle w:val="NormalWeb"/>
                  <w:ind w:left="1800"/>
                  <w:rPr>
                    <w:rFonts w:eastAsiaTheme="minorEastAsia"/>
                    <w:sz w:val="22"/>
                    <w:szCs w:val="22"/>
                  </w:rPr>
                </w:pPr>
                <w:r w:rsidRPr="004869AF">
                  <w:rPr>
                    <w:color w:val="2C2A29"/>
                    <w:sz w:val="22"/>
                    <w:szCs w:val="22"/>
                  </w:rPr>
                  <w:t>b.</w:t>
                </w:r>
                <w:r w:rsidRPr="004869AF">
                  <w:rPr>
                    <w:rFonts w:eastAsiaTheme="minorEastAsia"/>
                    <w:sz w:val="22"/>
                    <w:szCs w:val="22"/>
                  </w:rPr>
                  <w:t xml:space="preserve"> Reserved for nonexempt employees only who are designated as Essential Critical Personnel.</w:t>
                </w:r>
              </w:p>
              <w:p w14:paraId="4613A848" w14:textId="70AC47FA" w:rsidR="00663CDE" w:rsidRPr="004869AF" w:rsidRDefault="00663CDE" w:rsidP="00663CDE">
                <w:pPr>
                  <w:pStyle w:val="NormalWeb"/>
                  <w:ind w:left="1800"/>
                  <w:rPr>
                    <w:rFonts w:eastAsiaTheme="minorEastAsia"/>
                    <w:sz w:val="22"/>
                    <w:szCs w:val="22"/>
                  </w:rPr>
                </w:pPr>
                <w:r w:rsidRPr="004869AF">
                  <w:rPr>
                    <w:color w:val="2C2A29"/>
                    <w:sz w:val="22"/>
                    <w:szCs w:val="22"/>
                  </w:rPr>
                  <w:t>c.</w:t>
                </w:r>
                <w:r w:rsidRPr="004869AF">
                  <w:rPr>
                    <w:rFonts w:eastAsiaTheme="minorEastAsia"/>
                    <w:sz w:val="22"/>
                    <w:szCs w:val="22"/>
                  </w:rPr>
                  <w:t xml:space="preserve"> Exempt level employees</w:t>
                </w:r>
                <w:r w:rsidR="00A93EA4" w:rsidRPr="004869AF">
                  <w:rPr>
                    <w:rFonts w:eastAsiaTheme="minorEastAsia"/>
                    <w:sz w:val="22"/>
                    <w:szCs w:val="22"/>
                  </w:rPr>
                  <w:t>,</w:t>
                </w:r>
                <w:r w:rsidRPr="004869AF">
                  <w:rPr>
                    <w:rFonts w:eastAsiaTheme="minorEastAsia"/>
                    <w:sz w:val="22"/>
                    <w:szCs w:val="22"/>
                  </w:rPr>
                  <w:t xml:space="preserve"> </w:t>
                </w:r>
                <w:r w:rsidR="00FA5A79" w:rsidRPr="004869AF">
                  <w:rPr>
                    <w:rFonts w:eastAsiaTheme="minorEastAsia"/>
                    <w:sz w:val="22"/>
                    <w:szCs w:val="22"/>
                  </w:rPr>
                  <w:t>and</w:t>
                </w:r>
                <w:r w:rsidRPr="004869AF">
                  <w:rPr>
                    <w:rFonts w:eastAsiaTheme="minorEastAsia"/>
                    <w:sz w:val="22"/>
                    <w:szCs w:val="22"/>
                  </w:rPr>
                  <w:t xml:space="preserve"> nonexempt employees who were not designated as Essential Critical are ineligible for Premium </w:t>
                </w:r>
                <w:r w:rsidR="005F71DF" w:rsidRPr="004869AF">
                  <w:rPr>
                    <w:rFonts w:eastAsiaTheme="minorEastAsia"/>
                    <w:sz w:val="22"/>
                    <w:szCs w:val="22"/>
                  </w:rPr>
                  <w:t xml:space="preserve">Compensation </w:t>
                </w:r>
                <w:r w:rsidRPr="004869AF">
                  <w:rPr>
                    <w:rFonts w:eastAsiaTheme="minorEastAsia"/>
                    <w:sz w:val="22"/>
                    <w:szCs w:val="22"/>
                  </w:rPr>
                  <w:t>for work performed during the University closure.</w:t>
                </w:r>
              </w:p>
              <w:p w14:paraId="112B3EDD" w14:textId="25462EE6" w:rsidR="00A93EA4" w:rsidRPr="004869AF" w:rsidRDefault="00A93EA4" w:rsidP="00A93EA4">
                <w:pPr>
                  <w:pStyle w:val="NormalWeb"/>
                  <w:ind w:left="1200"/>
                  <w:rPr>
                    <w:color w:val="2C2A29"/>
                    <w:sz w:val="22"/>
                    <w:szCs w:val="22"/>
                  </w:rPr>
                </w:pPr>
                <w:r w:rsidRPr="004869AF">
                  <w:rPr>
                    <w:color w:val="2C2A29"/>
                    <w:sz w:val="22"/>
                    <w:szCs w:val="22"/>
                  </w:rPr>
                  <w:t>2. Straight-time compensatory leave</w:t>
                </w:r>
              </w:p>
              <w:p w14:paraId="4542083D" w14:textId="4235B93C" w:rsidR="00A93EA4" w:rsidRPr="004869AF" w:rsidRDefault="00A93EA4" w:rsidP="00A93EA4">
                <w:pPr>
                  <w:pStyle w:val="NormalWeb"/>
                  <w:ind w:left="1800"/>
                  <w:rPr>
                    <w:rFonts w:eastAsiaTheme="minorEastAsia"/>
                    <w:sz w:val="22"/>
                    <w:szCs w:val="22"/>
                  </w:rPr>
                </w:pPr>
                <w:r w:rsidRPr="004869AF">
                  <w:rPr>
                    <w:rFonts w:eastAsiaTheme="minorEastAsia"/>
                    <w:sz w:val="22"/>
                    <w:szCs w:val="22"/>
                  </w:rPr>
                  <w:t xml:space="preserve">a. Exempt employees in pay band </w:t>
                </w:r>
                <w:r w:rsidR="003B3BC5" w:rsidRPr="004869AF">
                  <w:rPr>
                    <w:rFonts w:eastAsiaTheme="minorEastAsia"/>
                    <w:sz w:val="22"/>
                    <w:szCs w:val="22"/>
                  </w:rPr>
                  <w:t xml:space="preserve">4, </w:t>
                </w:r>
                <w:r w:rsidRPr="004869AF">
                  <w:rPr>
                    <w:rFonts w:eastAsiaTheme="minorEastAsia"/>
                    <w:sz w:val="22"/>
                    <w:szCs w:val="22"/>
                  </w:rPr>
                  <w:t xml:space="preserve">5 and 6 will be eligible to earn </w:t>
                </w:r>
                <w:r w:rsidR="00267153" w:rsidRPr="004869AF">
                  <w:rPr>
                    <w:rFonts w:eastAsiaTheme="minorEastAsia"/>
                    <w:sz w:val="22"/>
                    <w:szCs w:val="22"/>
                  </w:rPr>
                  <w:t xml:space="preserve">straight-time </w:t>
                </w:r>
                <w:r w:rsidRPr="004869AF">
                  <w:rPr>
                    <w:rFonts w:eastAsiaTheme="minorEastAsia"/>
                    <w:sz w:val="22"/>
                    <w:szCs w:val="22"/>
                  </w:rPr>
                  <w:t>compensatory leave for working during a University closure.</w:t>
                </w:r>
              </w:p>
              <w:p w14:paraId="303765F6" w14:textId="7C268F12" w:rsidR="00A93EA4" w:rsidRPr="004869AF" w:rsidRDefault="00A93EA4" w:rsidP="00A93EA4">
                <w:pPr>
                  <w:pStyle w:val="NormalWeb"/>
                  <w:ind w:left="1800"/>
                  <w:rPr>
                    <w:rFonts w:eastAsiaTheme="minorEastAsia"/>
                    <w:sz w:val="22"/>
                    <w:szCs w:val="22"/>
                  </w:rPr>
                </w:pPr>
                <w:r w:rsidRPr="004869AF">
                  <w:rPr>
                    <w:rFonts w:eastAsiaTheme="minorEastAsia"/>
                    <w:sz w:val="22"/>
                    <w:szCs w:val="22"/>
                  </w:rPr>
                  <w:t xml:space="preserve">b. Nonexempt Medium Priority Personnel </w:t>
                </w:r>
                <w:r w:rsidR="003B3BC5" w:rsidRPr="004869AF">
                  <w:rPr>
                    <w:rFonts w:eastAsiaTheme="minorEastAsia"/>
                    <w:sz w:val="22"/>
                    <w:szCs w:val="22"/>
                  </w:rPr>
                  <w:t xml:space="preserve">that </w:t>
                </w:r>
                <w:r w:rsidRPr="004869AF">
                  <w:rPr>
                    <w:rFonts w:eastAsiaTheme="minorEastAsia"/>
                    <w:sz w:val="22"/>
                    <w:szCs w:val="22"/>
                  </w:rPr>
                  <w:t>work more than the required number of hours in the workweek during which an emergency closure occurred</w:t>
                </w:r>
                <w:r w:rsidR="00275D12" w:rsidRPr="004869AF">
                  <w:rPr>
                    <w:rFonts w:eastAsiaTheme="minorEastAsia"/>
                    <w:sz w:val="22"/>
                    <w:szCs w:val="22"/>
                  </w:rPr>
                  <w:t xml:space="preserve"> will be eligible</w:t>
                </w:r>
                <w:r w:rsidR="00267153" w:rsidRPr="004869AF">
                  <w:rPr>
                    <w:rFonts w:eastAsiaTheme="minorEastAsia"/>
                    <w:sz w:val="22"/>
                    <w:szCs w:val="22"/>
                  </w:rPr>
                  <w:t xml:space="preserve"> for straight-time compensatory leave</w:t>
                </w:r>
                <w:r w:rsidRPr="004869AF">
                  <w:rPr>
                    <w:rFonts w:eastAsiaTheme="minorEastAsia"/>
                    <w:sz w:val="22"/>
                    <w:szCs w:val="22"/>
                  </w:rPr>
                  <w:t>.</w:t>
                </w:r>
              </w:p>
              <w:p w14:paraId="448F8481" w14:textId="1808B0C4" w:rsidR="00D07F5A" w:rsidRPr="004869AF" w:rsidRDefault="00D07F5A" w:rsidP="00D07F5A">
                <w:pPr>
                  <w:pStyle w:val="NormalWeb"/>
                  <w:ind w:left="1200"/>
                  <w:rPr>
                    <w:color w:val="2C2A29"/>
                    <w:sz w:val="22"/>
                    <w:szCs w:val="22"/>
                  </w:rPr>
                </w:pPr>
                <w:r w:rsidRPr="004869AF">
                  <w:rPr>
                    <w:color w:val="2C2A29"/>
                    <w:sz w:val="22"/>
                    <w:szCs w:val="22"/>
                  </w:rPr>
                  <w:t>3. Other compensation guidelines</w:t>
                </w:r>
              </w:p>
              <w:p w14:paraId="50DB2A58" w14:textId="0009E360" w:rsidR="00D07F5A" w:rsidRPr="004869AF" w:rsidRDefault="00D07F5A" w:rsidP="00D07F5A">
                <w:pPr>
                  <w:pStyle w:val="NormalWeb"/>
                  <w:ind w:left="1800"/>
                  <w:rPr>
                    <w:rFonts w:eastAsiaTheme="minorEastAsia"/>
                    <w:sz w:val="22"/>
                    <w:szCs w:val="22"/>
                  </w:rPr>
                </w:pPr>
                <w:r w:rsidRPr="004869AF">
                  <w:rPr>
                    <w:rFonts w:eastAsiaTheme="minorEastAsia"/>
                    <w:sz w:val="22"/>
                    <w:szCs w:val="22"/>
                  </w:rPr>
                  <w:t>a. Exempt employees in pay band 7 and 8 will not be eligible for premium compensation or to earn compensatory leave during the closure.</w:t>
                </w:r>
              </w:p>
              <w:p w14:paraId="4EF19871" w14:textId="6ECFE91C" w:rsidR="00B6798D" w:rsidRPr="004869AF" w:rsidRDefault="00D07F5A" w:rsidP="00433889">
                <w:pPr>
                  <w:pStyle w:val="NormalWeb"/>
                  <w:ind w:left="1800"/>
                  <w:rPr>
                    <w:sz w:val="22"/>
                    <w:szCs w:val="22"/>
                  </w:rPr>
                </w:pPr>
                <w:r w:rsidRPr="004869AF">
                  <w:rPr>
                    <w:rFonts w:eastAsiaTheme="minorEastAsia"/>
                    <w:sz w:val="22"/>
                    <w:szCs w:val="22"/>
                  </w:rPr>
                  <w:lastRenderedPageBreak/>
                  <w:t xml:space="preserve">b.  </w:t>
                </w:r>
                <w:r w:rsidR="000F1697" w:rsidRPr="004869AF">
                  <w:rPr>
                    <w:rFonts w:eastAsiaTheme="minorEastAsia"/>
                    <w:sz w:val="22"/>
                    <w:szCs w:val="22"/>
                  </w:rPr>
                  <w:t>E</w:t>
                </w:r>
                <w:r w:rsidRPr="004869AF">
                  <w:rPr>
                    <w:rFonts w:eastAsiaTheme="minorEastAsia"/>
                    <w:sz w:val="22"/>
                    <w:szCs w:val="22"/>
                  </w:rPr>
                  <w:t xml:space="preserve">mployees who worked during the closure and were not designated as essential, or medium priority level personnel will be credited for hours worked and have their Administrative Leave </w:t>
                </w:r>
                <w:r w:rsidR="00267153" w:rsidRPr="004869AF">
                  <w:rPr>
                    <w:rFonts w:eastAsiaTheme="minorEastAsia"/>
                    <w:sz w:val="22"/>
                    <w:szCs w:val="22"/>
                  </w:rPr>
                  <w:t xml:space="preserve">use </w:t>
                </w:r>
                <w:r w:rsidRPr="004869AF">
                  <w:rPr>
                    <w:rFonts w:eastAsiaTheme="minorEastAsia"/>
                    <w:sz w:val="22"/>
                    <w:szCs w:val="22"/>
                  </w:rPr>
                  <w:t>reduced</w:t>
                </w:r>
                <w:r w:rsidR="00561484" w:rsidRPr="004869AF">
                  <w:rPr>
                    <w:rFonts w:eastAsiaTheme="minorEastAsia"/>
                    <w:sz w:val="22"/>
                    <w:szCs w:val="22"/>
                  </w:rPr>
                  <w:t>.</w:t>
                </w:r>
              </w:p>
            </w:tc>
          </w:sdtContent>
        </w:sdt>
      </w:tr>
      <w:tr w:rsidR="00B6798D" w:rsidRPr="004869AF" w14:paraId="0A18D7F2" w14:textId="77777777" w:rsidTr="00E60774">
        <w:trPr>
          <w:trHeight w:val="432"/>
        </w:trPr>
        <w:tc>
          <w:tcPr>
            <w:tcW w:w="540" w:type="dxa"/>
            <w:vAlign w:val="center"/>
          </w:tcPr>
          <w:p w14:paraId="212601AD" w14:textId="6D688294" w:rsidR="00B6798D" w:rsidRPr="004869AF" w:rsidRDefault="00B6798D" w:rsidP="00663CDE"/>
        </w:tc>
        <w:tc>
          <w:tcPr>
            <w:tcW w:w="9900" w:type="dxa"/>
            <w:gridSpan w:val="6"/>
            <w:vAlign w:val="center"/>
          </w:tcPr>
          <w:p w14:paraId="4A1B0843" w14:textId="77777777" w:rsidR="00B6798D" w:rsidRPr="004869AF" w:rsidRDefault="00B6798D" w:rsidP="00C911D9"/>
        </w:tc>
      </w:tr>
      <w:tr w:rsidR="00B6798D" w:rsidRPr="004869AF" w14:paraId="5FE4587B" w14:textId="77777777" w:rsidTr="00E60774">
        <w:trPr>
          <w:trHeight w:val="144"/>
        </w:trPr>
        <w:tc>
          <w:tcPr>
            <w:tcW w:w="540" w:type="dxa"/>
            <w:vAlign w:val="center"/>
          </w:tcPr>
          <w:p w14:paraId="76211E13" w14:textId="77777777" w:rsidR="00B6798D" w:rsidRPr="004869AF" w:rsidRDefault="001B60D8" w:rsidP="001B60D8">
            <w:pPr>
              <w:pStyle w:val="PolicyTitle"/>
            </w:pPr>
            <w:r w:rsidRPr="004869AF">
              <w:t>III.</w:t>
            </w:r>
          </w:p>
        </w:tc>
        <w:tc>
          <w:tcPr>
            <w:tcW w:w="9900" w:type="dxa"/>
            <w:gridSpan w:val="6"/>
            <w:shd w:val="clear" w:color="auto" w:fill="auto"/>
            <w:vAlign w:val="center"/>
          </w:tcPr>
          <w:p w14:paraId="6F8BC3D3" w14:textId="77777777" w:rsidR="00B6798D" w:rsidRPr="004869AF" w:rsidRDefault="00B6798D" w:rsidP="001B60D8">
            <w:pPr>
              <w:pStyle w:val="PolicyTitle"/>
            </w:pPr>
            <w:r w:rsidRPr="004869AF">
              <w:t>LEGAL SUPPORT, JUSTIFICATION, AND REVIEW OF THIS POLICY</w:t>
            </w:r>
          </w:p>
        </w:tc>
      </w:tr>
      <w:tr w:rsidR="005E3BE7" w:rsidRPr="004869AF" w14:paraId="4A4E48CB" w14:textId="77777777" w:rsidTr="00E60774">
        <w:trPr>
          <w:gridBefore w:val="1"/>
          <w:wBefore w:w="540" w:type="dxa"/>
          <w:trHeight w:val="20"/>
        </w:trPr>
        <w:tc>
          <w:tcPr>
            <w:tcW w:w="9900" w:type="dxa"/>
            <w:gridSpan w:val="6"/>
            <w:vAlign w:val="center"/>
          </w:tcPr>
          <w:p w14:paraId="423F6445" w14:textId="77777777" w:rsidR="00255F3A" w:rsidRPr="004869AF" w:rsidRDefault="00255F3A" w:rsidP="00255F3A">
            <w:pPr>
              <w:rPr>
                <w:bCs/>
                <w:sz w:val="24"/>
              </w:rPr>
            </w:pPr>
            <w:r w:rsidRPr="004869AF">
              <w:rPr>
                <w:bCs/>
                <w:sz w:val="24"/>
              </w:rPr>
              <w:t xml:space="preserve">The President holds delegated authority from the Board of Trustees to establish personnel policies. Constitutional authority, state statutes, federal statutes, Florida Board of Governors regulations, and University regulations authorize the policy: </w:t>
            </w:r>
          </w:p>
          <w:p w14:paraId="7177E6C9" w14:textId="3263A7B9" w:rsidR="00255F3A" w:rsidRPr="004869AF" w:rsidRDefault="00267153" w:rsidP="000061CF">
            <w:pPr>
              <w:spacing w:after="0"/>
              <w:rPr>
                <w:bCs/>
                <w:sz w:val="24"/>
              </w:rPr>
            </w:pPr>
            <w:r w:rsidRPr="004869AF">
              <w:rPr>
                <w:bCs/>
                <w:sz w:val="24"/>
              </w:rPr>
              <w:t>Florida Constitution Article IX, Section 7</w:t>
            </w:r>
          </w:p>
          <w:p w14:paraId="34263548" w14:textId="64FF0221" w:rsidR="00267153" w:rsidRPr="004869AF" w:rsidRDefault="00267153" w:rsidP="000061CF">
            <w:pPr>
              <w:spacing w:after="0"/>
              <w:rPr>
                <w:bCs/>
                <w:sz w:val="24"/>
              </w:rPr>
            </w:pPr>
            <w:r w:rsidRPr="004869AF">
              <w:rPr>
                <w:bCs/>
                <w:sz w:val="24"/>
              </w:rPr>
              <w:t>Section 1001.706(5)(a), Florida Statutes</w:t>
            </w:r>
          </w:p>
          <w:p w14:paraId="2601A500" w14:textId="6F522CEC" w:rsidR="00267153" w:rsidRPr="004869AF" w:rsidRDefault="00267153" w:rsidP="000061CF">
            <w:pPr>
              <w:spacing w:after="0"/>
              <w:rPr>
                <w:bCs/>
                <w:sz w:val="24"/>
              </w:rPr>
            </w:pPr>
            <w:r w:rsidRPr="004869AF">
              <w:rPr>
                <w:bCs/>
                <w:sz w:val="24"/>
              </w:rPr>
              <w:t>B</w:t>
            </w:r>
            <w:r w:rsidR="001E4849" w:rsidRPr="004869AF">
              <w:rPr>
                <w:bCs/>
                <w:sz w:val="24"/>
              </w:rPr>
              <w:t>OG</w:t>
            </w:r>
            <w:r w:rsidRPr="004869AF">
              <w:rPr>
                <w:bCs/>
                <w:sz w:val="24"/>
              </w:rPr>
              <w:t xml:space="preserve"> Regulation 1.001(5)(a)</w:t>
            </w:r>
          </w:p>
          <w:p w14:paraId="4E25E47C" w14:textId="472D4BEE" w:rsidR="00267153" w:rsidRPr="004869AF" w:rsidRDefault="00267153" w:rsidP="000061CF">
            <w:pPr>
              <w:spacing w:after="0"/>
              <w:rPr>
                <w:bCs/>
                <w:sz w:val="24"/>
              </w:rPr>
            </w:pPr>
            <w:r w:rsidRPr="004869AF">
              <w:rPr>
                <w:bCs/>
                <w:sz w:val="24"/>
              </w:rPr>
              <w:t>FSU Regulation FSU-4.001</w:t>
            </w:r>
          </w:p>
          <w:p w14:paraId="2FC6C0E7" w14:textId="533B66DB" w:rsidR="00267153" w:rsidRPr="004869AF" w:rsidRDefault="00267153" w:rsidP="000061CF">
            <w:pPr>
              <w:spacing w:after="0"/>
              <w:rPr>
                <w:bCs/>
                <w:sz w:val="24"/>
              </w:rPr>
            </w:pPr>
            <w:r w:rsidRPr="004869AF">
              <w:rPr>
                <w:bCs/>
                <w:sz w:val="24"/>
              </w:rPr>
              <w:t>Fair Labor Standards Act</w:t>
            </w:r>
          </w:p>
          <w:p w14:paraId="28E5D1E7" w14:textId="77777777" w:rsidR="00267153" w:rsidRPr="004869AF" w:rsidRDefault="00267153" w:rsidP="000061CF">
            <w:pPr>
              <w:spacing w:after="0"/>
              <w:rPr>
                <w:bCs/>
                <w:sz w:val="24"/>
              </w:rPr>
            </w:pPr>
          </w:p>
          <w:p w14:paraId="1FDD8E0E" w14:textId="77777777" w:rsidR="00255F3A" w:rsidRPr="004869AF" w:rsidRDefault="00255F3A" w:rsidP="00255F3A">
            <w:pPr>
              <w:rPr>
                <w:bCs/>
                <w:sz w:val="24"/>
              </w:rPr>
            </w:pPr>
            <w:r w:rsidRPr="004869AF">
              <w:rPr>
                <w:bCs/>
                <w:sz w:val="24"/>
              </w:rPr>
              <w:t>This policy shall be reviewed by the Chief Human Resources Officer every seven years for its effectiveness. The Office of Human Resources shall make recommendations to the Vice President for Finance and Administration for any modification or elimination.</w:t>
            </w:r>
          </w:p>
          <w:p w14:paraId="63262B0C" w14:textId="77777777" w:rsidR="005E3BE7" w:rsidRPr="004869AF" w:rsidRDefault="005E3BE7" w:rsidP="009C3DC5">
            <w:pPr>
              <w:ind w:left="450"/>
            </w:pPr>
          </w:p>
        </w:tc>
      </w:tr>
      <w:tr w:rsidR="009C3DC5" w:rsidRPr="004869AF" w14:paraId="31172183" w14:textId="77777777" w:rsidTr="00E60774">
        <w:trPr>
          <w:trHeight w:val="1872"/>
        </w:trPr>
        <w:tc>
          <w:tcPr>
            <w:tcW w:w="540" w:type="dxa"/>
            <w:vAlign w:val="bottom"/>
          </w:tcPr>
          <w:p w14:paraId="384B80FE" w14:textId="77777777" w:rsidR="009C3DC5" w:rsidRPr="004869AF" w:rsidRDefault="009C3DC5" w:rsidP="003B28F1">
            <w:pPr>
              <w:jc w:val="center"/>
            </w:pPr>
          </w:p>
        </w:tc>
        <w:tc>
          <w:tcPr>
            <w:tcW w:w="5302" w:type="dxa"/>
            <w:gridSpan w:val="3"/>
            <w:tcBorders>
              <w:bottom w:val="single" w:sz="4" w:space="0" w:color="auto"/>
            </w:tcBorders>
            <w:vAlign w:val="bottom"/>
          </w:tcPr>
          <w:p w14:paraId="43A063AB" w14:textId="77777777" w:rsidR="009C3DC5" w:rsidRPr="004869AF" w:rsidRDefault="00B07653" w:rsidP="00CB4BED">
            <w:pPr>
              <w:jc w:val="center"/>
              <w:rPr>
                <w:sz w:val="24"/>
                <w:szCs w:val="24"/>
              </w:rPr>
            </w:pPr>
            <w:r w:rsidRPr="004869AF">
              <w:rPr>
                <w:sz w:val="24"/>
                <w:szCs w:val="24"/>
              </w:rPr>
              <w:t>/s/ Name o</w:t>
            </w:r>
            <w:r w:rsidR="004F1CB3" w:rsidRPr="004869AF">
              <w:rPr>
                <w:sz w:val="24"/>
                <w:szCs w:val="24"/>
              </w:rPr>
              <w:t>f Approving Official</w:t>
            </w:r>
          </w:p>
        </w:tc>
        <w:tc>
          <w:tcPr>
            <w:tcW w:w="447" w:type="dxa"/>
            <w:vAlign w:val="bottom"/>
          </w:tcPr>
          <w:p w14:paraId="7B1C7753" w14:textId="77777777" w:rsidR="009C3DC5" w:rsidRPr="004869AF" w:rsidRDefault="009C3DC5" w:rsidP="003B28F1">
            <w:pPr>
              <w:jc w:val="center"/>
            </w:pPr>
          </w:p>
        </w:tc>
        <w:tc>
          <w:tcPr>
            <w:tcW w:w="2650" w:type="dxa"/>
            <w:vAlign w:val="bottom"/>
          </w:tcPr>
          <w:p w14:paraId="0E1AB40D" w14:textId="77777777" w:rsidR="009C3DC5" w:rsidRPr="004869AF" w:rsidRDefault="009C3DC5" w:rsidP="00B07653"/>
        </w:tc>
        <w:tc>
          <w:tcPr>
            <w:tcW w:w="1501" w:type="dxa"/>
            <w:vAlign w:val="bottom"/>
          </w:tcPr>
          <w:p w14:paraId="317A04CE" w14:textId="77777777" w:rsidR="009C3DC5" w:rsidRPr="004869AF" w:rsidRDefault="009C3DC5" w:rsidP="003B28F1">
            <w:pPr>
              <w:jc w:val="center"/>
            </w:pPr>
          </w:p>
        </w:tc>
      </w:tr>
      <w:tr w:rsidR="009C3DC5" w:rsidRPr="004869AF" w14:paraId="3A301E20" w14:textId="77777777" w:rsidTr="00E60774">
        <w:tc>
          <w:tcPr>
            <w:tcW w:w="540" w:type="dxa"/>
            <w:vAlign w:val="center"/>
          </w:tcPr>
          <w:p w14:paraId="5F6D6DCA" w14:textId="77777777" w:rsidR="009C3DC5" w:rsidRPr="004869AF" w:rsidRDefault="009C3DC5" w:rsidP="003B28F1">
            <w:pPr>
              <w:jc w:val="center"/>
              <w:rPr>
                <w:sz w:val="18"/>
                <w:szCs w:val="18"/>
              </w:rPr>
            </w:pPr>
          </w:p>
        </w:tc>
        <w:tc>
          <w:tcPr>
            <w:tcW w:w="5302" w:type="dxa"/>
            <w:gridSpan w:val="3"/>
            <w:tcBorders>
              <w:top w:val="single" w:sz="4" w:space="0" w:color="auto"/>
            </w:tcBorders>
          </w:tcPr>
          <w:p w14:paraId="0419B800" w14:textId="77777777" w:rsidR="00AE3E5F" w:rsidRPr="004869AF" w:rsidRDefault="00B07653" w:rsidP="00AE3E5F">
            <w:pPr>
              <w:jc w:val="center"/>
              <w:rPr>
                <w:sz w:val="24"/>
                <w:szCs w:val="24"/>
              </w:rPr>
            </w:pPr>
            <w:r w:rsidRPr="004869AF">
              <w:rPr>
                <w:sz w:val="18"/>
                <w:szCs w:val="18"/>
              </w:rPr>
              <w:t xml:space="preserve"> </w:t>
            </w:r>
            <w:r w:rsidR="00AE3E5F" w:rsidRPr="004869AF">
              <w:rPr>
                <w:sz w:val="24"/>
                <w:szCs w:val="24"/>
              </w:rPr>
              <w:t>[</w:t>
            </w:r>
            <w:r w:rsidRPr="004869AF">
              <w:rPr>
                <w:sz w:val="24"/>
                <w:szCs w:val="24"/>
              </w:rPr>
              <w:t xml:space="preserve">Proof of </w:t>
            </w:r>
            <w:r w:rsidR="00AE3E5F" w:rsidRPr="004869AF">
              <w:rPr>
                <w:sz w:val="24"/>
                <w:szCs w:val="24"/>
              </w:rPr>
              <w:t>approval retained in file]</w:t>
            </w:r>
          </w:p>
        </w:tc>
        <w:tc>
          <w:tcPr>
            <w:tcW w:w="447" w:type="dxa"/>
            <w:vAlign w:val="center"/>
          </w:tcPr>
          <w:p w14:paraId="69B494C4" w14:textId="77777777" w:rsidR="009C3DC5" w:rsidRPr="004869AF" w:rsidRDefault="009C3DC5" w:rsidP="003B28F1">
            <w:pPr>
              <w:jc w:val="center"/>
              <w:rPr>
                <w:sz w:val="18"/>
                <w:szCs w:val="18"/>
              </w:rPr>
            </w:pPr>
          </w:p>
        </w:tc>
        <w:tc>
          <w:tcPr>
            <w:tcW w:w="2650" w:type="dxa"/>
          </w:tcPr>
          <w:p w14:paraId="4FBC08F5" w14:textId="77777777" w:rsidR="009C3DC5" w:rsidRPr="004869AF" w:rsidRDefault="009C3DC5" w:rsidP="00AE3E5F">
            <w:pPr>
              <w:jc w:val="center"/>
              <w:rPr>
                <w:sz w:val="18"/>
                <w:szCs w:val="18"/>
              </w:rPr>
            </w:pPr>
          </w:p>
        </w:tc>
        <w:tc>
          <w:tcPr>
            <w:tcW w:w="1501" w:type="dxa"/>
            <w:vAlign w:val="center"/>
          </w:tcPr>
          <w:p w14:paraId="7BB06C1A" w14:textId="77777777" w:rsidR="009C3DC5" w:rsidRPr="004869AF" w:rsidRDefault="009C3DC5" w:rsidP="003B28F1">
            <w:pPr>
              <w:jc w:val="center"/>
              <w:rPr>
                <w:sz w:val="18"/>
                <w:szCs w:val="18"/>
              </w:rPr>
            </w:pPr>
          </w:p>
        </w:tc>
      </w:tr>
    </w:tbl>
    <w:p w14:paraId="6300950E" w14:textId="77777777" w:rsidR="00AB7758" w:rsidRPr="004869AF" w:rsidRDefault="00AB7758" w:rsidP="00AB7758"/>
    <w:sectPr w:rsidR="00AB7758" w:rsidRPr="004869AF" w:rsidSect="00264AC9">
      <w:headerReference w:type="default" r:id="rId10"/>
      <w:footerReference w:type="default" r:id="rId11"/>
      <w:pgSz w:w="12240" w:h="15840"/>
      <w:pgMar w:top="720" w:right="1440" w:bottom="72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AEF49" w14:textId="77777777" w:rsidR="00904695" w:rsidRDefault="00904695" w:rsidP="00D03114">
      <w:r>
        <w:separator/>
      </w:r>
    </w:p>
  </w:endnote>
  <w:endnote w:type="continuationSeparator" w:id="0">
    <w:p w14:paraId="6E2B2596" w14:textId="77777777" w:rsidR="00904695" w:rsidRDefault="00904695" w:rsidP="00D0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586"/>
      <w:gridCol w:w="4842"/>
    </w:tblGrid>
    <w:tr w:rsidR="00D03114" w14:paraId="48113A59" w14:textId="77777777" w:rsidTr="00010977">
      <w:tc>
        <w:tcPr>
          <w:tcW w:w="3192" w:type="dxa"/>
        </w:tcPr>
        <w:p w14:paraId="05A305A3" w14:textId="77777777" w:rsidR="00D03114" w:rsidRPr="00D03114" w:rsidRDefault="00D03114" w:rsidP="00010977">
          <w:pPr>
            <w:pStyle w:val="Footer"/>
            <w:rPr>
              <w:color w:val="808080" w:themeColor="background1" w:themeShade="80"/>
              <w:sz w:val="16"/>
              <w:szCs w:val="16"/>
            </w:rPr>
          </w:pPr>
          <w:r w:rsidRPr="00D03114">
            <w:rPr>
              <w:color w:val="808080" w:themeColor="background1" w:themeShade="80"/>
              <w:sz w:val="16"/>
              <w:szCs w:val="16"/>
            </w:rPr>
            <w:t>©</w:t>
          </w:r>
          <w:r w:rsidR="00010977">
            <w:rPr>
              <w:color w:val="808080" w:themeColor="background1" w:themeShade="80"/>
              <w:sz w:val="16"/>
              <w:szCs w:val="16"/>
            </w:rPr>
            <w:t xml:space="preserve"> 2015</w:t>
          </w:r>
          <w:r w:rsidRPr="00D03114">
            <w:rPr>
              <w:color w:val="808080" w:themeColor="background1" w:themeShade="80"/>
              <w:sz w:val="16"/>
              <w:szCs w:val="16"/>
            </w:rPr>
            <w:t xml:space="preserve"> Florida State University</w:t>
          </w:r>
        </w:p>
      </w:tc>
      <w:tc>
        <w:tcPr>
          <w:tcW w:w="2586" w:type="dxa"/>
        </w:tcPr>
        <w:p w14:paraId="5A1BF416" w14:textId="77777777" w:rsidR="00D03114" w:rsidRPr="00D03114" w:rsidRDefault="00D03114" w:rsidP="00010977">
          <w:pPr>
            <w:pStyle w:val="Footer"/>
            <w:jc w:val="center"/>
            <w:rPr>
              <w:color w:val="808080" w:themeColor="background1" w:themeShade="80"/>
              <w:sz w:val="16"/>
              <w:szCs w:val="16"/>
            </w:rPr>
          </w:pPr>
        </w:p>
      </w:tc>
      <w:tc>
        <w:tcPr>
          <w:tcW w:w="4842" w:type="dxa"/>
        </w:tcPr>
        <w:p w14:paraId="7D6FE0D5" w14:textId="62986ED7" w:rsidR="00010977" w:rsidRPr="00D03114" w:rsidRDefault="00010977" w:rsidP="00010977">
          <w:pPr>
            <w:pStyle w:val="Footer"/>
            <w:jc w:val="right"/>
            <w:rPr>
              <w:color w:val="808080" w:themeColor="background1" w:themeShade="80"/>
              <w:sz w:val="16"/>
              <w:szCs w:val="16"/>
            </w:rPr>
          </w:pPr>
          <w:r w:rsidRPr="00010977">
            <w:rPr>
              <w:color w:val="808080" w:themeColor="background1" w:themeShade="80"/>
              <w:sz w:val="16"/>
              <w:szCs w:val="16"/>
            </w:rPr>
            <w:fldChar w:fldCharType="begin"/>
          </w:r>
          <w:r w:rsidRPr="00010977">
            <w:rPr>
              <w:color w:val="808080" w:themeColor="background1" w:themeShade="80"/>
              <w:sz w:val="16"/>
              <w:szCs w:val="16"/>
            </w:rPr>
            <w:instrText xml:space="preserve"> PAGE   \* MERGEFORMAT </w:instrText>
          </w:r>
          <w:r w:rsidRPr="00010977">
            <w:rPr>
              <w:color w:val="808080" w:themeColor="background1" w:themeShade="80"/>
              <w:sz w:val="16"/>
              <w:szCs w:val="16"/>
            </w:rPr>
            <w:fldChar w:fldCharType="separate"/>
          </w:r>
          <w:r w:rsidR="00835DD7" w:rsidRPr="00835DD7">
            <w:rPr>
              <w:b/>
              <w:bCs/>
              <w:noProof/>
              <w:color w:val="808080" w:themeColor="background1" w:themeShade="80"/>
              <w:sz w:val="16"/>
              <w:szCs w:val="16"/>
            </w:rPr>
            <w:t>2</w:t>
          </w:r>
          <w:r w:rsidRPr="00010977">
            <w:rPr>
              <w:b/>
              <w:bCs/>
              <w:noProof/>
              <w:color w:val="808080" w:themeColor="background1" w:themeShade="80"/>
              <w:sz w:val="16"/>
              <w:szCs w:val="16"/>
            </w:rPr>
            <w:fldChar w:fldCharType="end"/>
          </w:r>
          <w:r w:rsidRPr="00010977">
            <w:rPr>
              <w:b/>
              <w:bCs/>
              <w:color w:val="808080" w:themeColor="background1" w:themeShade="80"/>
              <w:sz w:val="16"/>
              <w:szCs w:val="16"/>
            </w:rPr>
            <w:t xml:space="preserve"> </w:t>
          </w:r>
          <w:r w:rsidRPr="00010977">
            <w:rPr>
              <w:color w:val="808080" w:themeColor="background1" w:themeShade="80"/>
              <w:sz w:val="16"/>
              <w:szCs w:val="16"/>
            </w:rPr>
            <w:t>|</w:t>
          </w:r>
          <w:r w:rsidRPr="00010977">
            <w:rPr>
              <w:b/>
              <w:bCs/>
              <w:color w:val="808080" w:themeColor="background1" w:themeShade="80"/>
              <w:sz w:val="16"/>
              <w:szCs w:val="16"/>
            </w:rPr>
            <w:t xml:space="preserve"> </w:t>
          </w:r>
          <w:r w:rsidRPr="00010977">
            <w:rPr>
              <w:color w:val="808080" w:themeColor="background1" w:themeShade="80"/>
              <w:spacing w:val="60"/>
              <w:sz w:val="16"/>
              <w:szCs w:val="16"/>
            </w:rPr>
            <w:t>Page</w:t>
          </w:r>
        </w:p>
      </w:tc>
    </w:tr>
  </w:tbl>
  <w:p w14:paraId="57F8429F" w14:textId="77777777" w:rsidR="00D03114" w:rsidRDefault="00D03114">
    <w:pPr>
      <w:pStyle w:val="Footer"/>
    </w:pPr>
  </w:p>
  <w:p w14:paraId="6A20A2E1" w14:textId="77777777" w:rsidR="00D03114" w:rsidRDefault="00D03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C70A" w14:textId="77777777" w:rsidR="00904695" w:rsidRDefault="00904695" w:rsidP="00D03114">
      <w:r>
        <w:separator/>
      </w:r>
    </w:p>
  </w:footnote>
  <w:footnote w:type="continuationSeparator" w:id="0">
    <w:p w14:paraId="14F5D799" w14:textId="77777777" w:rsidR="00904695" w:rsidRDefault="00904695" w:rsidP="00D03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10170"/>
    </w:tblGrid>
    <w:tr w:rsidR="00E25CCA" w14:paraId="14AD2AF9" w14:textId="77777777" w:rsidTr="00C72E7E">
      <w:tc>
        <w:tcPr>
          <w:tcW w:w="10170" w:type="dxa"/>
        </w:tcPr>
        <w:p w14:paraId="58AD8AA8" w14:textId="77777777" w:rsidR="00E25CCA" w:rsidRDefault="00E25CCA">
          <w:pPr>
            <w:pStyle w:val="Header"/>
          </w:pPr>
          <w:r>
            <w:rPr>
              <w:noProof/>
            </w:rPr>
            <w:drawing>
              <wp:inline distT="0" distB="0" distL="0" distR="0" wp14:anchorId="77E714D5" wp14:editId="771724AD">
                <wp:extent cx="3543300" cy="924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USig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6204" cy="925197"/>
                        </a:xfrm>
                        <a:prstGeom prst="rect">
                          <a:avLst/>
                        </a:prstGeom>
                      </pic:spPr>
                    </pic:pic>
                  </a:graphicData>
                </a:graphic>
              </wp:inline>
            </w:drawing>
          </w:r>
        </w:p>
      </w:tc>
    </w:tr>
  </w:tbl>
  <w:p w14:paraId="52564110" w14:textId="77777777" w:rsidR="00E25CCA" w:rsidRDefault="00E25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818A0"/>
    <w:multiLevelType w:val="hybridMultilevel"/>
    <w:tmpl w:val="4C281DFA"/>
    <w:lvl w:ilvl="0" w:tplc="5DD657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573BB9"/>
    <w:multiLevelType w:val="hybridMultilevel"/>
    <w:tmpl w:val="416C5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8131B"/>
    <w:multiLevelType w:val="hybridMultilevel"/>
    <w:tmpl w:val="2F344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6537FD"/>
    <w:multiLevelType w:val="hybridMultilevel"/>
    <w:tmpl w:val="00E0F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21109D"/>
    <w:multiLevelType w:val="hybridMultilevel"/>
    <w:tmpl w:val="F1E8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NrY0NzWyMDc1MzJU0lEKTi0uzszPAymwrAUAd8+VTiwAAAA="/>
  </w:docVars>
  <w:rsids>
    <w:rsidRoot w:val="009D3C2B"/>
    <w:rsid w:val="0000474F"/>
    <w:rsid w:val="000061CF"/>
    <w:rsid w:val="00010977"/>
    <w:rsid w:val="00040221"/>
    <w:rsid w:val="00057F77"/>
    <w:rsid w:val="00062CF5"/>
    <w:rsid w:val="00076C95"/>
    <w:rsid w:val="000A3A5B"/>
    <w:rsid w:val="000B003C"/>
    <w:rsid w:val="000C2EEE"/>
    <w:rsid w:val="000E14B5"/>
    <w:rsid w:val="000F1697"/>
    <w:rsid w:val="00104D14"/>
    <w:rsid w:val="001279E1"/>
    <w:rsid w:val="001445BD"/>
    <w:rsid w:val="00161C01"/>
    <w:rsid w:val="00167D63"/>
    <w:rsid w:val="00192726"/>
    <w:rsid w:val="001A71B0"/>
    <w:rsid w:val="001B5A9D"/>
    <w:rsid w:val="001B60D8"/>
    <w:rsid w:val="001C5DAA"/>
    <w:rsid w:val="001C6455"/>
    <w:rsid w:val="001E410A"/>
    <w:rsid w:val="001E4849"/>
    <w:rsid w:val="00221FCD"/>
    <w:rsid w:val="00226A22"/>
    <w:rsid w:val="00255F3A"/>
    <w:rsid w:val="00262903"/>
    <w:rsid w:val="00264AC9"/>
    <w:rsid w:val="00267153"/>
    <w:rsid w:val="00273A4C"/>
    <w:rsid w:val="00275D12"/>
    <w:rsid w:val="0029274D"/>
    <w:rsid w:val="00295892"/>
    <w:rsid w:val="002A0E1F"/>
    <w:rsid w:val="002C78B8"/>
    <w:rsid w:val="002D0A36"/>
    <w:rsid w:val="00305A86"/>
    <w:rsid w:val="00311A28"/>
    <w:rsid w:val="00331E63"/>
    <w:rsid w:val="00336FBF"/>
    <w:rsid w:val="00347CE3"/>
    <w:rsid w:val="003640C7"/>
    <w:rsid w:val="00371E8B"/>
    <w:rsid w:val="00390F29"/>
    <w:rsid w:val="00394656"/>
    <w:rsid w:val="003B2797"/>
    <w:rsid w:val="003B28F1"/>
    <w:rsid w:val="003B3BC5"/>
    <w:rsid w:val="003B629D"/>
    <w:rsid w:val="00431399"/>
    <w:rsid w:val="00433889"/>
    <w:rsid w:val="00451E97"/>
    <w:rsid w:val="00451FE7"/>
    <w:rsid w:val="00477FFB"/>
    <w:rsid w:val="0048618A"/>
    <w:rsid w:val="004869AF"/>
    <w:rsid w:val="00490083"/>
    <w:rsid w:val="004B071B"/>
    <w:rsid w:val="004B6762"/>
    <w:rsid w:val="004D069D"/>
    <w:rsid w:val="004E7DDC"/>
    <w:rsid w:val="004F1CB3"/>
    <w:rsid w:val="00512975"/>
    <w:rsid w:val="00514295"/>
    <w:rsid w:val="00543A49"/>
    <w:rsid w:val="005521E4"/>
    <w:rsid w:val="00561484"/>
    <w:rsid w:val="005821B1"/>
    <w:rsid w:val="00594C42"/>
    <w:rsid w:val="005978FC"/>
    <w:rsid w:val="005A290C"/>
    <w:rsid w:val="005D55B9"/>
    <w:rsid w:val="005E3BE7"/>
    <w:rsid w:val="005F71DF"/>
    <w:rsid w:val="006071ED"/>
    <w:rsid w:val="00612342"/>
    <w:rsid w:val="00616D72"/>
    <w:rsid w:val="006211BA"/>
    <w:rsid w:val="00633E8D"/>
    <w:rsid w:val="00663CDE"/>
    <w:rsid w:val="006A1754"/>
    <w:rsid w:val="006D02D1"/>
    <w:rsid w:val="006E4CC1"/>
    <w:rsid w:val="00754174"/>
    <w:rsid w:val="00757506"/>
    <w:rsid w:val="00784B7F"/>
    <w:rsid w:val="007A3B50"/>
    <w:rsid w:val="007D367D"/>
    <w:rsid w:val="007F426F"/>
    <w:rsid w:val="008019F6"/>
    <w:rsid w:val="008065BC"/>
    <w:rsid w:val="00817F02"/>
    <w:rsid w:val="00835DD7"/>
    <w:rsid w:val="0085330A"/>
    <w:rsid w:val="00861BE7"/>
    <w:rsid w:val="008652DF"/>
    <w:rsid w:val="0086546F"/>
    <w:rsid w:val="008801D1"/>
    <w:rsid w:val="0088438E"/>
    <w:rsid w:val="008A2931"/>
    <w:rsid w:val="008A554D"/>
    <w:rsid w:val="008A5708"/>
    <w:rsid w:val="008B12F1"/>
    <w:rsid w:val="008B38A9"/>
    <w:rsid w:val="008B63D4"/>
    <w:rsid w:val="008C69CD"/>
    <w:rsid w:val="00904695"/>
    <w:rsid w:val="00924DAC"/>
    <w:rsid w:val="009359B4"/>
    <w:rsid w:val="00962666"/>
    <w:rsid w:val="00970A4F"/>
    <w:rsid w:val="00972E7A"/>
    <w:rsid w:val="00982807"/>
    <w:rsid w:val="009A0C37"/>
    <w:rsid w:val="009B4E04"/>
    <w:rsid w:val="009C3DC5"/>
    <w:rsid w:val="009D1BE3"/>
    <w:rsid w:val="009D3C2B"/>
    <w:rsid w:val="009D5E50"/>
    <w:rsid w:val="009E5559"/>
    <w:rsid w:val="009F35D6"/>
    <w:rsid w:val="00A1120C"/>
    <w:rsid w:val="00A30FE4"/>
    <w:rsid w:val="00A353AA"/>
    <w:rsid w:val="00A46B13"/>
    <w:rsid w:val="00A6235B"/>
    <w:rsid w:val="00A86D3E"/>
    <w:rsid w:val="00A93EA4"/>
    <w:rsid w:val="00A9711A"/>
    <w:rsid w:val="00AB608C"/>
    <w:rsid w:val="00AB7758"/>
    <w:rsid w:val="00AD060A"/>
    <w:rsid w:val="00AE3E5F"/>
    <w:rsid w:val="00AF22B4"/>
    <w:rsid w:val="00B040A2"/>
    <w:rsid w:val="00B06EF8"/>
    <w:rsid w:val="00B07653"/>
    <w:rsid w:val="00B24324"/>
    <w:rsid w:val="00B33897"/>
    <w:rsid w:val="00B443CC"/>
    <w:rsid w:val="00B5472E"/>
    <w:rsid w:val="00B6798D"/>
    <w:rsid w:val="00B70DC1"/>
    <w:rsid w:val="00B747F2"/>
    <w:rsid w:val="00BB4390"/>
    <w:rsid w:val="00BD4898"/>
    <w:rsid w:val="00BF52E6"/>
    <w:rsid w:val="00C04CD7"/>
    <w:rsid w:val="00C06C75"/>
    <w:rsid w:val="00C15D32"/>
    <w:rsid w:val="00C17FA7"/>
    <w:rsid w:val="00C27FC3"/>
    <w:rsid w:val="00C31A6F"/>
    <w:rsid w:val="00C72E7E"/>
    <w:rsid w:val="00C911D9"/>
    <w:rsid w:val="00CB4BED"/>
    <w:rsid w:val="00CD4D6B"/>
    <w:rsid w:val="00D03114"/>
    <w:rsid w:val="00D07F5A"/>
    <w:rsid w:val="00D15938"/>
    <w:rsid w:val="00D4614A"/>
    <w:rsid w:val="00D50C11"/>
    <w:rsid w:val="00D74C05"/>
    <w:rsid w:val="00D92245"/>
    <w:rsid w:val="00D95367"/>
    <w:rsid w:val="00DC14A8"/>
    <w:rsid w:val="00DC4C22"/>
    <w:rsid w:val="00DD7883"/>
    <w:rsid w:val="00DE0B42"/>
    <w:rsid w:val="00DE6649"/>
    <w:rsid w:val="00E077C7"/>
    <w:rsid w:val="00E25CCA"/>
    <w:rsid w:val="00E35679"/>
    <w:rsid w:val="00E454EA"/>
    <w:rsid w:val="00E60774"/>
    <w:rsid w:val="00EC3C23"/>
    <w:rsid w:val="00EC687D"/>
    <w:rsid w:val="00EE6729"/>
    <w:rsid w:val="00F10DCC"/>
    <w:rsid w:val="00F23235"/>
    <w:rsid w:val="00F46970"/>
    <w:rsid w:val="00FA5A79"/>
    <w:rsid w:val="00FB3662"/>
    <w:rsid w:val="00FF2987"/>
    <w:rsid w:val="00FF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512AC8"/>
  <w15:docId w15:val="{CD026FDC-C937-41D0-A562-D061262A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itle">
    <w:name w:val="Policy Title"/>
    <w:basedOn w:val="Normal"/>
    <w:link w:val="PolicyTitleChar"/>
    <w:qFormat/>
    <w:rsid w:val="00AB7758"/>
    <w:rPr>
      <w:b/>
      <w:caps/>
      <w:sz w:val="24"/>
    </w:rPr>
  </w:style>
  <w:style w:type="paragraph" w:styleId="ListParagraph">
    <w:name w:val="List Paragraph"/>
    <w:basedOn w:val="Normal"/>
    <w:uiPriority w:val="34"/>
    <w:rsid w:val="00AB7758"/>
    <w:pPr>
      <w:ind w:left="720"/>
      <w:contextualSpacing/>
    </w:pPr>
  </w:style>
  <w:style w:type="character" w:customStyle="1" w:styleId="PolicyTitleChar">
    <w:name w:val="Policy Title Char"/>
    <w:basedOn w:val="DefaultParagraphFont"/>
    <w:link w:val="PolicyTitle"/>
    <w:rsid w:val="00AB7758"/>
    <w:rPr>
      <w:rFonts w:eastAsiaTheme="minorEastAsia"/>
      <w:b/>
      <w:caps/>
      <w:sz w:val="24"/>
    </w:rPr>
  </w:style>
  <w:style w:type="table" w:styleId="TableGrid">
    <w:name w:val="Table Grid"/>
    <w:basedOn w:val="TableNormal"/>
    <w:uiPriority w:val="59"/>
    <w:rsid w:val="00AB7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390"/>
    <w:rPr>
      <w:rFonts w:ascii="Tahoma" w:hAnsi="Tahoma" w:cs="Tahoma"/>
      <w:sz w:val="16"/>
      <w:szCs w:val="16"/>
    </w:rPr>
  </w:style>
  <w:style w:type="character" w:customStyle="1" w:styleId="BalloonTextChar">
    <w:name w:val="Balloon Text Char"/>
    <w:basedOn w:val="DefaultParagraphFont"/>
    <w:link w:val="BalloonText"/>
    <w:uiPriority w:val="99"/>
    <w:semiHidden/>
    <w:rsid w:val="00BB4390"/>
    <w:rPr>
      <w:rFonts w:ascii="Tahoma" w:eastAsiaTheme="minorEastAsia" w:hAnsi="Tahoma" w:cs="Tahoma"/>
      <w:sz w:val="16"/>
      <w:szCs w:val="16"/>
    </w:rPr>
  </w:style>
  <w:style w:type="character" w:styleId="Strong">
    <w:name w:val="Strong"/>
    <w:basedOn w:val="DefaultParagraphFont"/>
    <w:uiPriority w:val="22"/>
    <w:qFormat/>
    <w:rsid w:val="001445BD"/>
    <w:rPr>
      <w:b/>
      <w:bCs/>
    </w:rPr>
  </w:style>
  <w:style w:type="character" w:styleId="PlaceholderText">
    <w:name w:val="Placeholder Text"/>
    <w:basedOn w:val="DefaultParagraphFont"/>
    <w:uiPriority w:val="99"/>
    <w:semiHidden/>
    <w:rsid w:val="00D4614A"/>
    <w:rPr>
      <w:color w:val="808080"/>
    </w:rPr>
  </w:style>
  <w:style w:type="paragraph" w:styleId="Header">
    <w:name w:val="header"/>
    <w:basedOn w:val="Normal"/>
    <w:link w:val="HeaderChar"/>
    <w:uiPriority w:val="99"/>
    <w:unhideWhenUsed/>
    <w:rsid w:val="00D03114"/>
    <w:pPr>
      <w:tabs>
        <w:tab w:val="center" w:pos="4680"/>
        <w:tab w:val="right" w:pos="9360"/>
      </w:tabs>
    </w:pPr>
  </w:style>
  <w:style w:type="character" w:customStyle="1" w:styleId="HeaderChar">
    <w:name w:val="Header Char"/>
    <w:basedOn w:val="DefaultParagraphFont"/>
    <w:link w:val="Header"/>
    <w:uiPriority w:val="99"/>
    <w:rsid w:val="00D03114"/>
    <w:rPr>
      <w:rFonts w:eastAsiaTheme="minorEastAsia"/>
    </w:rPr>
  </w:style>
  <w:style w:type="paragraph" w:styleId="Footer">
    <w:name w:val="footer"/>
    <w:basedOn w:val="Normal"/>
    <w:link w:val="FooterChar"/>
    <w:uiPriority w:val="99"/>
    <w:unhideWhenUsed/>
    <w:rsid w:val="00D03114"/>
    <w:pPr>
      <w:tabs>
        <w:tab w:val="center" w:pos="4680"/>
        <w:tab w:val="right" w:pos="9360"/>
      </w:tabs>
    </w:pPr>
  </w:style>
  <w:style w:type="character" w:customStyle="1" w:styleId="FooterChar">
    <w:name w:val="Footer Char"/>
    <w:basedOn w:val="DefaultParagraphFont"/>
    <w:link w:val="Footer"/>
    <w:uiPriority w:val="99"/>
    <w:rsid w:val="00D03114"/>
    <w:rPr>
      <w:rFonts w:eastAsiaTheme="minorEastAsia"/>
    </w:rPr>
  </w:style>
  <w:style w:type="character" w:customStyle="1" w:styleId="PolicyReviewSignature">
    <w:name w:val="Policy Review Signature"/>
    <w:basedOn w:val="DefaultParagraphFont"/>
    <w:uiPriority w:val="1"/>
    <w:rsid w:val="008019F6"/>
    <w:rPr>
      <w:rFonts w:ascii="Kunstler Script" w:hAnsi="Kunstler Script"/>
      <w:sz w:val="40"/>
    </w:rPr>
  </w:style>
  <w:style w:type="character" w:customStyle="1" w:styleId="ApprovingAuthoritySignature">
    <w:name w:val="Approving Authority Signature"/>
    <w:basedOn w:val="DefaultParagraphFont"/>
    <w:uiPriority w:val="1"/>
    <w:qFormat/>
    <w:rsid w:val="00E454EA"/>
    <w:rPr>
      <w:rFonts w:ascii="Edwardian Script ITC" w:hAnsi="Edwardian Script ITC"/>
      <w:sz w:val="56"/>
    </w:rPr>
  </w:style>
  <w:style w:type="character" w:styleId="Hyperlink">
    <w:name w:val="Hyperlink"/>
    <w:basedOn w:val="DefaultParagraphFont"/>
    <w:uiPriority w:val="99"/>
    <w:semiHidden/>
    <w:unhideWhenUsed/>
    <w:rsid w:val="009D3C2B"/>
    <w:rPr>
      <w:strike w:val="0"/>
      <w:dstrike w:val="0"/>
      <w:color w:val="782F40"/>
      <w:u w:val="none"/>
      <w:effect w:val="none"/>
      <w:shd w:val="clear" w:color="auto" w:fill="auto"/>
    </w:rPr>
  </w:style>
  <w:style w:type="paragraph" w:styleId="NormalWeb">
    <w:name w:val="Normal (Web)"/>
    <w:basedOn w:val="Normal"/>
    <w:uiPriority w:val="99"/>
    <w:unhideWhenUsed/>
    <w:rsid w:val="009D3C2B"/>
    <w:pPr>
      <w:spacing w:after="150"/>
    </w:pPr>
    <w:rPr>
      <w:rFonts w:eastAsia="Times New Roman"/>
      <w:sz w:val="24"/>
      <w:szCs w:val="24"/>
    </w:rPr>
  </w:style>
  <w:style w:type="character" w:styleId="CommentReference">
    <w:name w:val="annotation reference"/>
    <w:basedOn w:val="DefaultParagraphFont"/>
    <w:uiPriority w:val="99"/>
    <w:semiHidden/>
    <w:unhideWhenUsed/>
    <w:rsid w:val="00D95367"/>
    <w:rPr>
      <w:sz w:val="16"/>
      <w:szCs w:val="16"/>
    </w:rPr>
  </w:style>
  <w:style w:type="paragraph" w:styleId="CommentText">
    <w:name w:val="annotation text"/>
    <w:basedOn w:val="Normal"/>
    <w:link w:val="CommentTextChar"/>
    <w:uiPriority w:val="99"/>
    <w:semiHidden/>
    <w:unhideWhenUsed/>
    <w:rsid w:val="00D95367"/>
    <w:rPr>
      <w:sz w:val="20"/>
      <w:szCs w:val="20"/>
    </w:rPr>
  </w:style>
  <w:style w:type="character" w:customStyle="1" w:styleId="CommentTextChar">
    <w:name w:val="Comment Text Char"/>
    <w:basedOn w:val="DefaultParagraphFont"/>
    <w:link w:val="CommentText"/>
    <w:uiPriority w:val="99"/>
    <w:semiHidden/>
    <w:rsid w:val="00D9536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95367"/>
    <w:rPr>
      <w:b/>
      <w:bCs/>
    </w:rPr>
  </w:style>
  <w:style w:type="character" w:customStyle="1" w:styleId="CommentSubjectChar">
    <w:name w:val="Comment Subject Char"/>
    <w:basedOn w:val="CommentTextChar"/>
    <w:link w:val="CommentSubject"/>
    <w:uiPriority w:val="99"/>
    <w:semiHidden/>
    <w:rsid w:val="00D95367"/>
    <w:rPr>
      <w:rFonts w:eastAsiaTheme="minorEastAsia"/>
      <w:b/>
      <w:bCs/>
      <w:sz w:val="20"/>
      <w:szCs w:val="20"/>
    </w:rPr>
  </w:style>
  <w:style w:type="paragraph" w:styleId="Revision">
    <w:name w:val="Revision"/>
    <w:hidden/>
    <w:uiPriority w:val="99"/>
    <w:semiHidden/>
    <w:rsid w:val="000F1697"/>
    <w:pPr>
      <w:spacing w:after="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303233">
      <w:bodyDiv w:val="1"/>
      <w:marLeft w:val="0"/>
      <w:marRight w:val="0"/>
      <w:marTop w:val="0"/>
      <w:marBottom w:val="0"/>
      <w:divBdr>
        <w:top w:val="none" w:sz="0" w:space="0" w:color="auto"/>
        <w:left w:val="none" w:sz="0" w:space="0" w:color="auto"/>
        <w:bottom w:val="none" w:sz="0" w:space="0" w:color="auto"/>
        <w:right w:val="none" w:sz="0" w:space="0" w:color="auto"/>
      </w:divBdr>
    </w:div>
    <w:div w:id="1394504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ittle\OneDrive%20-%20Florida%20State%20University\Downloads\Policy-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19CAB3D1EF4651A4D02084FD6D62DA"/>
        <w:category>
          <w:name w:val="General"/>
          <w:gallery w:val="placeholder"/>
        </w:category>
        <w:types>
          <w:type w:val="bbPlcHdr"/>
        </w:types>
        <w:behaviors>
          <w:behavior w:val="content"/>
        </w:behaviors>
        <w:guid w:val="{672D007D-56AC-4B90-92EF-3D5B26435F4D}"/>
      </w:docPartPr>
      <w:docPartBody>
        <w:p w:rsidR="002B06BC" w:rsidRDefault="00BA21D9">
          <w:pPr>
            <w:pStyle w:val="2819CAB3D1EF4651A4D02084FD6D62DA"/>
          </w:pPr>
          <w:r>
            <w:rPr>
              <w:rStyle w:val="PlaceholderText"/>
            </w:rPr>
            <w:t>NUMBER</w:t>
          </w:r>
        </w:p>
      </w:docPartBody>
    </w:docPart>
    <w:docPart>
      <w:docPartPr>
        <w:name w:val="87DAA68ACD4F467DA0B49D162B13615A"/>
        <w:category>
          <w:name w:val="General"/>
          <w:gallery w:val="placeholder"/>
        </w:category>
        <w:types>
          <w:type w:val="bbPlcHdr"/>
        </w:types>
        <w:behaviors>
          <w:behavior w:val="content"/>
        </w:behaviors>
        <w:guid w:val="{4E90C016-1D76-4282-955F-44D813C63442}"/>
      </w:docPartPr>
      <w:docPartBody>
        <w:p w:rsidR="002B06BC" w:rsidRDefault="00BA21D9">
          <w:pPr>
            <w:pStyle w:val="87DAA68ACD4F467DA0B49D162B13615A"/>
          </w:pPr>
          <w:r w:rsidRPr="00083929">
            <w:rPr>
              <w:rStyle w:val="PlaceholderText"/>
            </w:rPr>
            <w:t xml:space="preserve">Click here to enter </w:t>
          </w:r>
          <w:r>
            <w:rPr>
              <w:rStyle w:val="PlaceholderText"/>
            </w:rPr>
            <w:t xml:space="preserve">POLICY </w:t>
          </w:r>
          <w:r w:rsidRPr="00083929">
            <w:rPr>
              <w:rStyle w:val="PlaceholderText"/>
            </w:rPr>
            <w:t>t</w:t>
          </w:r>
          <w:r>
            <w:rPr>
              <w:rStyle w:val="PlaceholderText"/>
            </w:rPr>
            <w:t>ITLE</w:t>
          </w:r>
        </w:p>
      </w:docPartBody>
    </w:docPart>
    <w:docPart>
      <w:docPartPr>
        <w:name w:val="FA1309AF61B7446390FA2D58CBB9C2B8"/>
        <w:category>
          <w:name w:val="General"/>
          <w:gallery w:val="placeholder"/>
        </w:category>
        <w:types>
          <w:type w:val="bbPlcHdr"/>
        </w:types>
        <w:behaviors>
          <w:behavior w:val="content"/>
        </w:behaviors>
        <w:guid w:val="{6FFFE092-15EB-40C4-84DC-FA39D62C4CD4}"/>
      </w:docPartPr>
      <w:docPartBody>
        <w:p w:rsidR="002B06BC" w:rsidRDefault="00BA21D9">
          <w:pPr>
            <w:pStyle w:val="FA1309AF61B7446390FA2D58CBB9C2B8"/>
          </w:pPr>
          <w:r w:rsidRPr="00083929">
            <w:rPr>
              <w:rStyle w:val="PlaceholderText"/>
            </w:rPr>
            <w:t>Click here to enter</w:t>
          </w:r>
        </w:p>
      </w:docPartBody>
    </w:docPart>
    <w:docPart>
      <w:docPartPr>
        <w:name w:val="D3913E1CB31F4F2AAABC43CD133E5262"/>
        <w:category>
          <w:name w:val="General"/>
          <w:gallery w:val="placeholder"/>
        </w:category>
        <w:types>
          <w:type w:val="bbPlcHdr"/>
        </w:types>
        <w:behaviors>
          <w:behavior w:val="content"/>
        </w:behaviors>
        <w:guid w:val="{E8D457CD-EDED-42BD-87C8-7AB83FDD5389}"/>
      </w:docPartPr>
      <w:docPartBody>
        <w:p w:rsidR="002B06BC" w:rsidRDefault="00BA21D9">
          <w:pPr>
            <w:pStyle w:val="D3913E1CB31F4F2AAABC43CD133E5262"/>
          </w:pPr>
          <w:r w:rsidRPr="00083929">
            <w:rPr>
              <w:rStyle w:val="PlaceholderText"/>
            </w:rPr>
            <w:t>Click here to enter</w:t>
          </w:r>
        </w:p>
      </w:docPartBody>
    </w:docPart>
    <w:docPart>
      <w:docPartPr>
        <w:name w:val="91EB2F4721A7403D9ECCDA2FC5CB8C71"/>
        <w:category>
          <w:name w:val="General"/>
          <w:gallery w:val="placeholder"/>
        </w:category>
        <w:types>
          <w:type w:val="bbPlcHdr"/>
        </w:types>
        <w:behaviors>
          <w:behavior w:val="content"/>
        </w:behaviors>
        <w:guid w:val="{2F15C584-F4F3-4027-A124-2F52CE0D5844}"/>
      </w:docPartPr>
      <w:docPartBody>
        <w:p w:rsidR="002B06BC" w:rsidRDefault="00BA21D9">
          <w:pPr>
            <w:pStyle w:val="91EB2F4721A7403D9ECCDA2FC5CB8C71"/>
          </w:pPr>
          <w:r>
            <w:rPr>
              <w:rStyle w:val="PlaceholderText"/>
            </w:rPr>
            <w:t>Example Text – 3-27-2014</w:t>
          </w:r>
        </w:p>
      </w:docPartBody>
    </w:docPart>
    <w:docPart>
      <w:docPartPr>
        <w:name w:val="A61E06D65FCF4D45B05AC4964F999707"/>
        <w:category>
          <w:name w:val="General"/>
          <w:gallery w:val="placeholder"/>
        </w:category>
        <w:types>
          <w:type w:val="bbPlcHdr"/>
        </w:types>
        <w:behaviors>
          <w:behavior w:val="content"/>
        </w:behaviors>
        <w:guid w:val="{1539CAE8-7267-485F-81A3-05C44CDFD5BC}"/>
      </w:docPartPr>
      <w:docPartBody>
        <w:p w:rsidR="002B06BC" w:rsidRDefault="00BA21D9">
          <w:pPr>
            <w:pStyle w:val="A61E06D65FCF4D45B05AC4964F999707"/>
          </w:pPr>
          <w:r>
            <w:rPr>
              <w:rStyle w:val="PlaceholderText"/>
            </w:rPr>
            <w:t>Example Text   ─   7-21-1967; 6-24-1977; 1-1-2001; 3-27-2014</w:t>
          </w:r>
        </w:p>
      </w:docPartBody>
    </w:docPart>
    <w:docPart>
      <w:docPartPr>
        <w:name w:val="720835C5BB044AEB8E284171AABAEF66"/>
        <w:category>
          <w:name w:val="General"/>
          <w:gallery w:val="placeholder"/>
        </w:category>
        <w:types>
          <w:type w:val="bbPlcHdr"/>
        </w:types>
        <w:behaviors>
          <w:behavior w:val="content"/>
        </w:behaviors>
        <w:guid w:val="{FA178FA5-D5D0-4F73-8792-8587060D2221}"/>
      </w:docPartPr>
      <w:docPartBody>
        <w:p w:rsidR="002B06BC" w:rsidRDefault="00BA21D9">
          <w:pPr>
            <w:pStyle w:val="720835C5BB044AEB8E284171AABAEF66"/>
          </w:pPr>
          <w:r w:rsidRPr="00083929">
            <w:rPr>
              <w:rStyle w:val="PlaceholderText"/>
            </w:rPr>
            <w:t xml:space="preserve">Click here to enter </w:t>
          </w:r>
          <w:r>
            <w:rPr>
              <w:rStyle w:val="PlaceholderText"/>
            </w:rPr>
            <w:t>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6BC"/>
    <w:rsid w:val="00033BAB"/>
    <w:rsid w:val="002B06BC"/>
    <w:rsid w:val="00311809"/>
    <w:rsid w:val="00391D1C"/>
    <w:rsid w:val="00462524"/>
    <w:rsid w:val="004D2F40"/>
    <w:rsid w:val="005C2942"/>
    <w:rsid w:val="006F2B75"/>
    <w:rsid w:val="0077745E"/>
    <w:rsid w:val="008301A1"/>
    <w:rsid w:val="0083784F"/>
    <w:rsid w:val="00876022"/>
    <w:rsid w:val="009821EE"/>
    <w:rsid w:val="009B3ACA"/>
    <w:rsid w:val="00A70E9C"/>
    <w:rsid w:val="00A7641F"/>
    <w:rsid w:val="00BA21D9"/>
    <w:rsid w:val="00C86DE2"/>
    <w:rsid w:val="00E4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819CAB3D1EF4651A4D02084FD6D62DA">
    <w:name w:val="2819CAB3D1EF4651A4D02084FD6D62DA"/>
  </w:style>
  <w:style w:type="paragraph" w:customStyle="1" w:styleId="87DAA68ACD4F467DA0B49D162B13615A">
    <w:name w:val="87DAA68ACD4F467DA0B49D162B13615A"/>
  </w:style>
  <w:style w:type="paragraph" w:customStyle="1" w:styleId="FA1309AF61B7446390FA2D58CBB9C2B8">
    <w:name w:val="FA1309AF61B7446390FA2D58CBB9C2B8"/>
  </w:style>
  <w:style w:type="paragraph" w:customStyle="1" w:styleId="D3913E1CB31F4F2AAABC43CD133E5262">
    <w:name w:val="D3913E1CB31F4F2AAABC43CD133E5262"/>
  </w:style>
  <w:style w:type="paragraph" w:customStyle="1" w:styleId="91EB2F4721A7403D9ECCDA2FC5CB8C71">
    <w:name w:val="91EB2F4721A7403D9ECCDA2FC5CB8C71"/>
  </w:style>
  <w:style w:type="paragraph" w:customStyle="1" w:styleId="A61E06D65FCF4D45B05AC4964F999707">
    <w:name w:val="A61E06D65FCF4D45B05AC4964F999707"/>
  </w:style>
  <w:style w:type="paragraph" w:customStyle="1" w:styleId="720835C5BB044AEB8E284171AABAEF66">
    <w:name w:val="720835C5BB044AEB8E284171AABAE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69D655E3DB74A890D793DD9223E85" ma:contentTypeVersion="13" ma:contentTypeDescription="Create a new document." ma:contentTypeScope="" ma:versionID="7b578b96a8efae7b4c8cbd6536980b71">
  <xsd:schema xmlns:xsd="http://www.w3.org/2001/XMLSchema" xmlns:xs="http://www.w3.org/2001/XMLSchema" xmlns:p="http://schemas.microsoft.com/office/2006/metadata/properties" xmlns:ns3="51c405b2-a219-4cc3-98b1-1d7f68510cc2" xmlns:ns4="035a740d-7464-4166-8a8d-0b779b75e601" targetNamespace="http://schemas.microsoft.com/office/2006/metadata/properties" ma:root="true" ma:fieldsID="2f868829ab2fe17bfe4938b92fb79f7a" ns3:_="" ns4:_="">
    <xsd:import namespace="51c405b2-a219-4cc3-98b1-1d7f68510cc2"/>
    <xsd:import namespace="035a740d-7464-4166-8a8d-0b779b75e6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405b2-a219-4cc3-98b1-1d7f68510c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5a740d-7464-4166-8a8d-0b779b75e6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351738-790B-4A84-9D60-734992708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405b2-a219-4cc3-98b1-1d7f68510cc2"/>
    <ds:schemaRef ds:uri="035a740d-7464-4166-8a8d-0b779b75e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209B0-1BFC-497E-B590-C8C4787C8CE5}">
  <ds:schemaRefs>
    <ds:schemaRef ds:uri="http://schemas.microsoft.com/sharepoint/v3/contenttype/forms"/>
  </ds:schemaRefs>
</ds:datastoreItem>
</file>

<file path=customXml/itemProps3.xml><?xml version="1.0" encoding="utf-8"?>
<ds:datastoreItem xmlns:ds="http://schemas.openxmlformats.org/officeDocument/2006/customXml" ds:itemID="{9C6C1626-7561-4215-BA74-A36E7EAC9CD6}">
  <ds:schemaRefs>
    <ds:schemaRef ds:uri="http://purl.org/dc/terms/"/>
    <ds:schemaRef ds:uri="http://schemas.openxmlformats.org/package/2006/metadata/core-properties"/>
    <ds:schemaRef ds:uri="51c405b2-a219-4cc3-98b1-1d7f68510cc2"/>
    <ds:schemaRef ds:uri="http://schemas.microsoft.com/office/2006/metadata/properties"/>
    <ds:schemaRef ds:uri="http://schemas.microsoft.com/office/2006/documentManagement/types"/>
    <ds:schemaRef ds:uri="http://purl.org/dc/dcmitype/"/>
    <ds:schemaRef ds:uri="http://schemas.microsoft.com/office/infopath/2007/PartnerControls"/>
    <ds:schemaRef ds:uri="035a740d-7464-4166-8a8d-0b779b75e601"/>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Policy-Template.dotx</Template>
  <TotalTime>1</TotalTime>
  <Pages>3</Pages>
  <Words>836</Words>
  <Characters>4769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FSU Policy Template</vt:lpstr>
    </vt:vector>
  </TitlesOfParts>
  <Company>ITS</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FSU Policy Template</dc:title>
  <dc:creator>Conley, Christine</dc:creator>
  <cp:lastModifiedBy>Melanie Welch</cp:lastModifiedBy>
  <cp:revision>2</cp:revision>
  <cp:lastPrinted>2019-11-08T14:01:00Z</cp:lastPrinted>
  <dcterms:created xsi:type="dcterms:W3CDTF">2021-07-01T20:20:00Z</dcterms:created>
  <dcterms:modified xsi:type="dcterms:W3CDTF">2021-07-01T20:20:00Z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0x010100BB769D655E3DB74A890D793DD9223E85</vt:lpwstr>
  </property>
</Properties>
</file>